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rPr>
        <w:t xml:space="preserve"> </w:t>
      </w:r>
    </w:p>
    <w:p/>
    <w:p/>
    <w:p>
      <w:pPr>
        <w:jc w:val="center"/>
        <w:rPr>
          <w:rFonts w:asciiTheme="minorEastAsia" w:hAnsiTheme="minorEastAsia"/>
          <w:sz w:val="44"/>
          <w:szCs w:val="44"/>
        </w:rPr>
      </w:pPr>
    </w:p>
    <w:p>
      <w:pPr>
        <w:widowControl/>
        <w:spacing w:line="640" w:lineRule="exact"/>
        <w:jc w:val="center"/>
        <w:rPr>
          <w:rFonts w:hint="eastAsia" w:ascii="方正小标宋简体" w:hAnsi="方正小标宋简体" w:eastAsia="方正小标宋简体" w:cs="方正小标宋简体"/>
          <w:color w:val="000000"/>
          <w:kern w:val="0"/>
          <w:sz w:val="44"/>
          <w:szCs w:val="44"/>
        </w:rPr>
      </w:pPr>
    </w:p>
    <w:p>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贵港市自然资源局</w:t>
      </w:r>
      <w:r>
        <w:rPr>
          <w:rFonts w:hint="eastAsia" w:ascii="方正小标宋简体" w:hAnsi="方正小标宋简体" w:eastAsia="方正小标宋简体" w:cs="方正小标宋简体"/>
          <w:color w:val="000000"/>
          <w:kern w:val="0"/>
          <w:sz w:val="44"/>
          <w:szCs w:val="44"/>
          <w:lang w:val="en-US" w:eastAsia="zh-CN"/>
        </w:rPr>
        <w:t xml:space="preserve"> </w:t>
      </w:r>
      <w:r>
        <w:rPr>
          <w:rFonts w:hint="eastAsia" w:ascii="方正小标宋简体" w:hAnsi="方正小标宋简体" w:eastAsia="方正小标宋简体" w:cs="方正小标宋简体"/>
          <w:color w:val="000000"/>
          <w:kern w:val="0"/>
          <w:sz w:val="44"/>
          <w:szCs w:val="44"/>
        </w:rPr>
        <w:t>贵港市住房和城乡建设局</w:t>
      </w:r>
      <w:r>
        <w:rPr>
          <w:rFonts w:hint="eastAsia" w:ascii="方正小标宋简体" w:hAnsi="方正小标宋简体" w:eastAsia="方正小标宋简体" w:cs="方正小标宋简体"/>
          <w:color w:val="000000"/>
          <w:kern w:val="0"/>
          <w:sz w:val="44"/>
          <w:szCs w:val="44"/>
          <w:lang w:val="en-US" w:eastAsia="zh-CN"/>
        </w:rPr>
        <w:t xml:space="preserve"> </w:t>
      </w:r>
      <w:r>
        <w:rPr>
          <w:rFonts w:hint="eastAsia" w:ascii="方正小标宋简体" w:hAnsi="方正小标宋简体" w:eastAsia="方正小标宋简体" w:cs="方正小标宋简体"/>
          <w:color w:val="000000"/>
          <w:kern w:val="0"/>
          <w:sz w:val="44"/>
          <w:szCs w:val="44"/>
        </w:rPr>
        <w:t>关于印发贵港市新增工业用地工程建设</w:t>
      </w:r>
    </w:p>
    <w:p>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项目“拿地即开工”实施方案</w:t>
      </w:r>
    </w:p>
    <w:p>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的通知（试行）</w:t>
      </w:r>
    </w:p>
    <w:p>
      <w:pPr>
        <w:spacing w:line="600" w:lineRule="exact"/>
        <w:jc w:val="center"/>
        <w:rPr>
          <w:b/>
          <w:sz w:val="44"/>
          <w:szCs w:val="44"/>
        </w:rPr>
      </w:pPr>
    </w:p>
    <w:p>
      <w:pPr>
        <w:widowControl/>
        <w:spacing w:line="600" w:lineRule="exact"/>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 xml:space="preserve">各有关单位： </w:t>
      </w:r>
    </w:p>
    <w:p>
      <w:pPr>
        <w:widowControl/>
        <w:spacing w:line="600" w:lineRule="exact"/>
        <w:ind w:firstLine="640" w:firstLineChars="200"/>
        <w:jc w:val="left"/>
        <w:rPr>
          <w:rFonts w:ascii="仿宋_GB2312" w:hAnsi="宋体" w:eastAsia="仿宋_GB2312" w:cs="仿宋_GB2312"/>
          <w:color w:val="000000"/>
          <w:kern w:val="0"/>
          <w:sz w:val="31"/>
          <w:szCs w:val="31"/>
        </w:rPr>
      </w:pPr>
      <w:r>
        <w:rPr>
          <w:rFonts w:hint="eastAsia" w:ascii="仿宋_GB2312" w:eastAsia="仿宋_GB2312"/>
          <w:color w:val="333333"/>
          <w:sz w:val="32"/>
          <w:szCs w:val="32"/>
          <w:shd w:val="clear" w:color="auto" w:fill="FFFFFF"/>
        </w:rPr>
        <w:t>为深入贯彻落实国务院、住建部关于工程建设项目审批制度改革要求，进一步优化我市营商环境，更快速度推进工程建设项目开工建设，根据《国务院办公厅关于进一步优化营商环境更好服务市场主体的实施意见》（国办发〔2020〕24号）、《广西壮族自治区大数据发展局关于印发推行</w:t>
      </w:r>
      <w:r>
        <w:rPr>
          <w:rFonts w:ascii="仿宋_GB2312" w:eastAsia="仿宋_GB2312"/>
          <w:color w:val="333333"/>
          <w:sz w:val="32"/>
          <w:szCs w:val="32"/>
          <w:shd w:val="clear" w:color="auto" w:fill="FFFFFF"/>
        </w:rPr>
        <w:t>政务服务便民利民“微改革”实施方案的通知</w:t>
      </w:r>
      <w:r>
        <w:rPr>
          <w:rFonts w:hint="eastAsia" w:ascii="仿宋_GB2312" w:eastAsia="仿宋_GB2312"/>
          <w:color w:val="333333"/>
          <w:sz w:val="32"/>
          <w:szCs w:val="32"/>
          <w:shd w:val="clear" w:color="auto" w:fill="FFFFFF"/>
        </w:rPr>
        <w:t>》桂数发〔</w:t>
      </w:r>
      <w:r>
        <w:rPr>
          <w:rFonts w:ascii="仿宋_GB2312" w:eastAsia="仿宋_GB2312"/>
          <w:color w:val="333333"/>
          <w:sz w:val="32"/>
          <w:szCs w:val="32"/>
          <w:shd w:val="clear" w:color="auto" w:fill="FFFFFF"/>
        </w:rPr>
        <w:t>2021</w:t>
      </w:r>
      <w:r>
        <w:rPr>
          <w:rFonts w:hint="eastAsia" w:ascii="仿宋_GB2312" w:eastAsia="仿宋_GB2312"/>
          <w:color w:val="333333"/>
          <w:sz w:val="32"/>
          <w:szCs w:val="32"/>
          <w:shd w:val="clear" w:color="auto" w:fill="FFFFFF"/>
        </w:rPr>
        <w:t>〕</w:t>
      </w:r>
      <w:r>
        <w:rPr>
          <w:rFonts w:ascii="仿宋_GB2312" w:eastAsia="仿宋_GB2312"/>
          <w:color w:val="333333"/>
          <w:sz w:val="32"/>
          <w:szCs w:val="32"/>
          <w:shd w:val="clear" w:color="auto" w:fill="FFFFFF"/>
        </w:rPr>
        <w:t xml:space="preserve">15 </w:t>
      </w:r>
      <w:r>
        <w:rPr>
          <w:rFonts w:hint="eastAsia" w:ascii="仿宋_GB2312" w:eastAsia="仿宋_GB2312"/>
          <w:color w:val="333333"/>
          <w:sz w:val="32"/>
          <w:szCs w:val="32"/>
          <w:shd w:val="clear" w:color="auto" w:fill="FFFFFF"/>
        </w:rPr>
        <w:t>号等文件精神，结合我市实际，现将修订后的《贵港市新增工业用地工程建设项目“拿地即开工”实施方案（试行）》</w:t>
      </w:r>
      <w:r>
        <w:rPr>
          <w:rFonts w:hint="eastAsia" w:ascii="仿宋_GB2312" w:hAnsi="宋体" w:eastAsia="仿宋_GB2312" w:cs="仿宋_GB2312"/>
          <w:color w:val="000000"/>
          <w:kern w:val="0"/>
          <w:sz w:val="31"/>
          <w:szCs w:val="31"/>
        </w:rPr>
        <w:t>印发给你们</w:t>
      </w:r>
      <w:r>
        <w:rPr>
          <w:rFonts w:ascii="仿宋_GB2312" w:hAnsi="宋体" w:eastAsia="仿宋_GB2312" w:cs="仿宋_GB2312"/>
          <w:color w:val="000000"/>
          <w:kern w:val="0"/>
          <w:sz w:val="31"/>
          <w:szCs w:val="31"/>
        </w:rPr>
        <w:t>，</w:t>
      </w:r>
      <w:r>
        <w:rPr>
          <w:rFonts w:hint="eastAsia" w:ascii="仿宋_GB2312" w:hAnsi="宋体" w:eastAsia="仿宋_GB2312" w:cs="仿宋_GB2312"/>
          <w:color w:val="000000"/>
          <w:kern w:val="0"/>
          <w:sz w:val="31"/>
          <w:szCs w:val="31"/>
        </w:rPr>
        <w:t>请认真贯彻执行。</w:t>
      </w:r>
    </w:p>
    <w:p>
      <w:pPr>
        <w:widowControl/>
        <w:spacing w:line="600" w:lineRule="exact"/>
        <w:jc w:val="left"/>
        <w:rPr>
          <w:rFonts w:ascii="仿宋_GB2312" w:hAnsi="宋体" w:eastAsia="仿宋_GB2312" w:cs="仿宋_GB2312"/>
          <w:color w:val="000000"/>
          <w:kern w:val="0"/>
          <w:sz w:val="31"/>
          <w:szCs w:val="31"/>
        </w:rPr>
      </w:pPr>
    </w:p>
    <w:p>
      <w:pPr>
        <w:widowControl/>
        <w:spacing w:line="600" w:lineRule="exact"/>
        <w:ind w:left="617" w:leftChars="294"/>
        <w:jc w:val="left"/>
        <w:rPr>
          <w:rFonts w:ascii="仿宋_GB2312" w:eastAsia="仿宋_GB2312"/>
          <w:color w:val="333333"/>
          <w:sz w:val="32"/>
          <w:szCs w:val="32"/>
          <w:shd w:val="clear" w:color="auto" w:fill="FFFFFF"/>
        </w:rPr>
      </w:pPr>
      <w:r>
        <w:rPr>
          <w:rFonts w:hint="eastAsia" w:ascii="仿宋_GB2312" w:hAnsi="宋体" w:eastAsia="仿宋_GB2312" w:cs="仿宋_GB2312"/>
          <w:color w:val="000000"/>
          <w:kern w:val="0"/>
          <w:sz w:val="31"/>
          <w:szCs w:val="31"/>
        </w:rPr>
        <w:t>附件：</w:t>
      </w:r>
      <w:r>
        <w:rPr>
          <w:rFonts w:hint="eastAsia" w:ascii="仿宋_GB2312" w:eastAsia="仿宋_GB2312"/>
          <w:color w:val="333333"/>
          <w:sz w:val="32"/>
          <w:szCs w:val="32"/>
          <w:shd w:val="clear" w:color="auto" w:fill="FFFFFF"/>
        </w:rPr>
        <w:t>贵港市新增工业用地工程建设项目“拿地即开工”实施方案（试行）</w:t>
      </w:r>
    </w:p>
    <w:p>
      <w:pPr>
        <w:pStyle w:val="8"/>
        <w:spacing w:line="600" w:lineRule="exact"/>
        <w:ind w:firstLine="0"/>
        <w:rPr>
          <w:rFonts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 xml:space="preserve">                       </w:t>
      </w:r>
    </w:p>
    <w:p>
      <w:pPr>
        <w:pStyle w:val="8"/>
        <w:shd w:val="clear" w:color="auto" w:fill="FFFFFF"/>
        <w:spacing w:line="600" w:lineRule="exact"/>
        <w:ind w:left="0" w:leftChars="0" w:firstLine="0" w:firstLineChars="0"/>
        <w:rPr>
          <w:rFonts w:hint="eastAsia" w:ascii="仿宋_GB2312" w:eastAsia="仿宋_GB2312"/>
          <w:color w:val="333333"/>
          <w:sz w:val="32"/>
          <w:szCs w:val="32"/>
          <w:shd w:val="clear" w:color="auto" w:fill="FFFFFF"/>
        </w:rPr>
      </w:pPr>
    </w:p>
    <w:p>
      <w:pPr>
        <w:pStyle w:val="8"/>
        <w:shd w:val="clear" w:color="auto" w:fill="FFFFFF"/>
        <w:spacing w:line="600" w:lineRule="exact"/>
        <w:ind w:left="0" w:leftChars="0" w:firstLine="0" w:firstLineChars="0"/>
        <w:rPr>
          <w:rFonts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贵港市住房和城乡建设局</w:t>
      </w:r>
      <w:r>
        <w:rPr>
          <w:rFonts w:hint="eastAsia" w:ascii="仿宋_GB2312" w:eastAsia="仿宋_GB2312"/>
          <w:color w:val="333333"/>
          <w:sz w:val="32"/>
          <w:szCs w:val="32"/>
          <w:shd w:val="clear" w:color="auto" w:fill="FFFFFF"/>
          <w:lang w:val="en-US" w:eastAsia="zh-CN"/>
        </w:rPr>
        <w:t xml:space="preserve">           </w:t>
      </w:r>
      <w:r>
        <w:rPr>
          <w:rFonts w:hint="eastAsia" w:ascii="仿宋_GB2312" w:eastAsia="仿宋_GB2312"/>
          <w:color w:val="333333"/>
          <w:sz w:val="32"/>
          <w:szCs w:val="32"/>
          <w:shd w:val="clear" w:color="auto" w:fill="FFFFFF"/>
        </w:rPr>
        <w:t xml:space="preserve">贵港市自然资源局                        </w:t>
      </w:r>
    </w:p>
    <w:p>
      <w:pPr>
        <w:pStyle w:val="8"/>
        <w:spacing w:line="600" w:lineRule="exact"/>
        <w:ind w:firstLine="5440" w:firstLineChars="1700"/>
        <w:rPr>
          <w:rFonts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2021年9月</w:t>
      </w:r>
      <w:r>
        <w:rPr>
          <w:rFonts w:hint="eastAsia" w:ascii="仿宋_GB2312" w:eastAsia="仿宋_GB2312"/>
          <w:color w:val="333333"/>
          <w:sz w:val="32"/>
          <w:szCs w:val="32"/>
          <w:shd w:val="clear" w:color="auto" w:fill="FFFFFF"/>
          <w:lang w:val="en-US" w:eastAsia="zh-CN"/>
        </w:rPr>
        <w:t>30</w:t>
      </w:r>
      <w:r>
        <w:rPr>
          <w:rFonts w:hint="eastAsia" w:ascii="仿宋_GB2312" w:eastAsia="仿宋_GB2312"/>
          <w:color w:val="333333"/>
          <w:sz w:val="32"/>
          <w:szCs w:val="32"/>
          <w:shd w:val="clear" w:color="auto" w:fill="FFFFFF"/>
        </w:rPr>
        <w:t>日</w:t>
      </w:r>
    </w:p>
    <w:p>
      <w:pPr>
        <w:pStyle w:val="8"/>
        <w:spacing w:line="600" w:lineRule="exact"/>
        <w:ind w:firstLine="4800" w:firstLineChars="1500"/>
        <w:rPr>
          <w:rFonts w:ascii="仿宋_GB2312" w:eastAsia="仿宋_GB2312"/>
          <w:color w:val="333333"/>
          <w:sz w:val="32"/>
          <w:szCs w:val="32"/>
          <w:shd w:val="clear" w:color="auto" w:fill="FFFFFF"/>
        </w:rPr>
      </w:pPr>
    </w:p>
    <w:p>
      <w:pPr>
        <w:pStyle w:val="8"/>
        <w:spacing w:line="600" w:lineRule="exact"/>
        <w:ind w:firstLine="4800" w:firstLineChars="1500"/>
        <w:rPr>
          <w:rFonts w:ascii="仿宋_GB2312" w:eastAsia="仿宋_GB2312"/>
          <w:color w:val="333333"/>
          <w:sz w:val="32"/>
          <w:szCs w:val="32"/>
          <w:shd w:val="clear" w:color="auto" w:fill="FFFFFF"/>
        </w:rPr>
      </w:pPr>
    </w:p>
    <w:p>
      <w:pPr>
        <w:pStyle w:val="8"/>
        <w:spacing w:line="600" w:lineRule="exact"/>
        <w:ind w:firstLine="640" w:firstLineChars="200"/>
        <w:rPr>
          <w:rFonts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（此件可依申请公开）</w:t>
      </w:r>
    </w:p>
    <w:p>
      <w:pPr>
        <w:pStyle w:val="8"/>
        <w:spacing w:line="600" w:lineRule="exact"/>
        <w:ind w:firstLine="0"/>
        <w:rPr>
          <w:rFonts w:ascii="仿宋_GB2312" w:eastAsia="仿宋_GB2312"/>
          <w:color w:val="333333"/>
          <w:sz w:val="32"/>
          <w:szCs w:val="32"/>
          <w:shd w:val="clear" w:color="auto" w:fill="FFFFFF"/>
        </w:rPr>
      </w:pPr>
    </w:p>
    <w:p>
      <w:pPr>
        <w:pStyle w:val="8"/>
        <w:spacing w:line="600" w:lineRule="exact"/>
        <w:ind w:firstLine="0"/>
        <w:rPr>
          <w:rFonts w:ascii="仿宋_GB2312" w:eastAsia="仿宋_GB2312"/>
          <w:color w:val="333333"/>
          <w:sz w:val="32"/>
          <w:szCs w:val="32"/>
          <w:shd w:val="clear" w:color="auto" w:fill="FFFFFF"/>
        </w:rPr>
      </w:pPr>
    </w:p>
    <w:p>
      <w:pPr>
        <w:pStyle w:val="8"/>
        <w:spacing w:line="600" w:lineRule="exact"/>
        <w:ind w:firstLine="0"/>
        <w:rPr>
          <w:rFonts w:ascii="仿宋_GB2312" w:eastAsia="仿宋_GB2312"/>
          <w:color w:val="333333"/>
          <w:sz w:val="32"/>
          <w:szCs w:val="32"/>
          <w:shd w:val="clear" w:color="auto" w:fill="FFFFFF"/>
        </w:rPr>
      </w:pPr>
    </w:p>
    <w:p>
      <w:pPr>
        <w:pStyle w:val="8"/>
        <w:spacing w:line="600" w:lineRule="exact"/>
        <w:ind w:firstLine="0"/>
        <w:rPr>
          <w:rFonts w:ascii="仿宋_GB2312" w:eastAsia="仿宋_GB2312"/>
          <w:color w:val="333333"/>
          <w:sz w:val="32"/>
          <w:szCs w:val="32"/>
          <w:shd w:val="clear" w:color="auto" w:fill="FFFFFF"/>
        </w:rPr>
      </w:pPr>
    </w:p>
    <w:p>
      <w:pPr>
        <w:pStyle w:val="8"/>
        <w:spacing w:line="600" w:lineRule="exact"/>
        <w:ind w:firstLine="0"/>
        <w:rPr>
          <w:rFonts w:ascii="仿宋_GB2312" w:eastAsia="仿宋_GB2312"/>
          <w:color w:val="333333"/>
          <w:sz w:val="32"/>
          <w:szCs w:val="32"/>
          <w:shd w:val="clear" w:color="auto" w:fill="FFFFFF"/>
        </w:rPr>
      </w:pPr>
    </w:p>
    <w:p>
      <w:pPr>
        <w:spacing w:line="520" w:lineRule="exact"/>
        <w:ind w:right="-153" w:rightChars="-73"/>
        <w:jc w:val="left"/>
        <w:rPr>
          <w:rFonts w:ascii="仿宋_GB2312" w:eastAsia="仿宋_GB2312"/>
          <w:color w:val="333333"/>
          <w:sz w:val="32"/>
          <w:szCs w:val="32"/>
          <w:shd w:val="clear" w:color="auto" w:fill="FFFFFF"/>
        </w:rPr>
      </w:pPr>
    </w:p>
    <w:p>
      <w:pPr>
        <w:pStyle w:val="8"/>
        <w:spacing w:line="600" w:lineRule="exact"/>
        <w:ind w:firstLine="0"/>
        <w:rPr>
          <w:rFonts w:ascii="仿宋_GB2312" w:eastAsia="仿宋_GB2312"/>
          <w:color w:val="333333"/>
          <w:sz w:val="32"/>
          <w:szCs w:val="32"/>
          <w:shd w:val="clear" w:color="auto" w:fill="FFFFFF"/>
        </w:rPr>
      </w:pPr>
    </w:p>
    <w:p>
      <w:pPr>
        <w:widowControl/>
        <w:spacing w:line="600" w:lineRule="exact"/>
        <w:rPr>
          <w:rFonts w:ascii="方正小标宋简体" w:hAnsi="方正小标宋简体" w:eastAsia="方正小标宋简体" w:cs="方正小标宋简体"/>
          <w:color w:val="000000"/>
          <w:kern w:val="0"/>
          <w:sz w:val="44"/>
          <w:szCs w:val="44"/>
        </w:rPr>
      </w:pPr>
    </w:p>
    <w:p>
      <w:pPr>
        <w:widowControl/>
        <w:spacing w:line="600" w:lineRule="exact"/>
        <w:rPr>
          <w:rFonts w:ascii="方正小标宋简体" w:hAnsi="方正小标宋简体" w:eastAsia="方正小标宋简体" w:cs="方正小标宋简体"/>
          <w:color w:val="000000"/>
          <w:kern w:val="0"/>
          <w:sz w:val="44"/>
          <w:szCs w:val="44"/>
        </w:rPr>
      </w:pPr>
    </w:p>
    <w:p>
      <w:pPr>
        <w:widowControl/>
        <w:spacing w:line="600" w:lineRule="exact"/>
        <w:rPr>
          <w:rFonts w:ascii="方正小标宋简体" w:hAnsi="方正小标宋简体" w:eastAsia="方正小标宋简体" w:cs="方正小标宋简体"/>
          <w:color w:val="000000"/>
          <w:kern w:val="0"/>
          <w:sz w:val="44"/>
          <w:szCs w:val="44"/>
        </w:rPr>
      </w:pPr>
    </w:p>
    <w:p>
      <w:pPr>
        <w:widowControl/>
        <w:spacing w:line="600" w:lineRule="exact"/>
        <w:rPr>
          <w:rFonts w:ascii="方正小标宋简体" w:hAnsi="方正小标宋简体" w:eastAsia="方正小标宋简体" w:cs="方正小标宋简体"/>
          <w:color w:val="000000"/>
          <w:kern w:val="0"/>
          <w:sz w:val="44"/>
          <w:szCs w:val="44"/>
        </w:rPr>
      </w:pPr>
      <w:bookmarkStart w:id="0" w:name="_GoBack"/>
      <w:bookmarkEnd w:id="0"/>
    </w:p>
    <w:p>
      <w:pPr>
        <w:widowControl/>
        <w:spacing w:line="600" w:lineRule="exact"/>
        <w:rPr>
          <w:rFonts w:ascii="方正小标宋简体" w:hAnsi="方正小标宋简体" w:eastAsia="方正小标宋简体" w:cs="方正小标宋简体"/>
          <w:color w:val="000000" w:themeColor="text1"/>
          <w:kern w:val="0"/>
          <w:sz w:val="44"/>
          <w:szCs w:val="44"/>
        </w:rPr>
      </w:pPr>
    </w:p>
    <w:tbl>
      <w:tblPr>
        <w:tblStyle w:val="5"/>
        <w:tblW w:w="9198"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19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198" w:type="dxa"/>
          </w:tcPr>
          <w:p>
            <w:pPr>
              <w:spacing w:line="520" w:lineRule="exact"/>
              <w:ind w:left="1119" w:leftChars="133" w:right="-153" w:rightChars="-73" w:hanging="840" w:hangingChars="300"/>
              <w:jc w:val="left"/>
              <w:rPr>
                <w:rFonts w:eastAsia="仿宋_GB2312"/>
                <w:color w:val="000000" w:themeColor="text1"/>
                <w:sz w:val="28"/>
                <w:szCs w:val="28"/>
              </w:rPr>
            </w:pPr>
            <w:r>
              <w:rPr>
                <w:rFonts w:hint="eastAsia" w:eastAsia="仿宋_GB2312"/>
                <w:color w:val="000000" w:themeColor="text1"/>
                <w:sz w:val="28"/>
                <w:szCs w:val="28"/>
              </w:rPr>
              <w:t>抄送：</w:t>
            </w:r>
            <w:r>
              <w:rPr>
                <w:rFonts w:hint="eastAsia" w:eastAsia="仿宋_GB2312" w:cs="仿宋_GB2312"/>
                <w:color w:val="000000" w:themeColor="text1"/>
                <w:sz w:val="28"/>
                <w:szCs w:val="28"/>
              </w:rPr>
              <w:t>各县（市、区）人民政府，市产业园区管委会</w:t>
            </w:r>
            <w:r>
              <w:rPr>
                <w:rFonts w:hint="eastAsia" w:eastAsia="仿宋_GB2312" w:cs="仿宋_GB2312"/>
                <w:color w:val="000000" w:themeColor="text1"/>
                <w:sz w:val="28"/>
                <w:szCs w:val="28"/>
                <w:lang w:eastAsia="zh-CN"/>
              </w:rPr>
              <w:t>、</w:t>
            </w:r>
            <w:r>
              <w:rPr>
                <w:rFonts w:hint="eastAsia" w:eastAsia="仿宋_GB2312"/>
                <w:color w:val="000000" w:themeColor="text1"/>
                <w:sz w:val="28"/>
                <w:szCs w:val="28"/>
                <w:lang w:val="en-US" w:eastAsia="zh-CN"/>
              </w:rPr>
              <w:t>贵港</w:t>
            </w:r>
            <w:r>
              <w:rPr>
                <w:rFonts w:hint="eastAsia" w:eastAsia="仿宋_GB2312" w:cs="仿宋_GB2312"/>
                <w:color w:val="000000" w:themeColor="text1"/>
                <w:sz w:val="28"/>
                <w:szCs w:val="28"/>
              </w:rPr>
              <w:t>市大数据发展和政务局</w:t>
            </w:r>
            <w:r>
              <w:rPr>
                <w:rFonts w:hint="eastAsia" w:eastAsia="仿宋_GB2312" w:cs="仿宋_GB2312"/>
                <w:color w:val="000000" w:themeColor="text1"/>
                <w:sz w:val="28"/>
                <w:szCs w:val="28"/>
                <w:lang w:eastAsia="zh-CN"/>
              </w:rPr>
              <w:t>，</w:t>
            </w:r>
            <w:r>
              <w:rPr>
                <w:rFonts w:hint="eastAsia" w:eastAsia="仿宋_GB2312" w:cs="仿宋_GB2312"/>
                <w:color w:val="000000" w:themeColor="text1"/>
                <w:sz w:val="28"/>
                <w:szCs w:val="28"/>
              </w:rPr>
              <w:t>市优化营商环境工作领导小组办公室，市工业和信息化局、市生态环境局。</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198" w:type="dxa"/>
          </w:tcPr>
          <w:p>
            <w:pPr>
              <w:spacing w:line="520" w:lineRule="exact"/>
              <w:ind w:right="-153" w:rightChars="-73" w:firstLine="280" w:firstLineChars="100"/>
              <w:jc w:val="left"/>
              <w:rPr>
                <w:rFonts w:eastAsia="仿宋_GB2312"/>
                <w:color w:val="000000" w:themeColor="text1"/>
                <w:sz w:val="28"/>
                <w:szCs w:val="28"/>
              </w:rPr>
            </w:pPr>
            <w:r>
              <w:rPr>
                <w:rFonts w:eastAsia="仿宋_GB2312"/>
                <w:color w:val="000000" w:themeColor="text1"/>
                <w:sz w:val="28"/>
                <w:szCs w:val="28"/>
              </w:rPr>
              <w:t>贵港市自然资源局办公室</w:t>
            </w:r>
            <w:r>
              <w:rPr>
                <w:rFonts w:eastAsia="仿宋_GB2312"/>
                <w:color w:val="000000" w:themeColor="text1"/>
                <w:sz w:val="28"/>
                <w:szCs w:val="28"/>
              </w:rPr>
              <w:tab/>
            </w:r>
            <w:r>
              <w:rPr>
                <w:rFonts w:eastAsia="仿宋_GB2312"/>
                <w:color w:val="000000" w:themeColor="text1"/>
                <w:sz w:val="28"/>
                <w:szCs w:val="28"/>
              </w:rPr>
              <w:t xml:space="preserve">              2021年</w:t>
            </w:r>
            <w:r>
              <w:rPr>
                <w:rFonts w:hint="eastAsia" w:eastAsia="仿宋_GB2312"/>
                <w:color w:val="000000" w:themeColor="text1"/>
                <w:sz w:val="28"/>
                <w:szCs w:val="28"/>
              </w:rPr>
              <w:t>9</w:t>
            </w:r>
            <w:r>
              <w:rPr>
                <w:rFonts w:eastAsia="仿宋_GB2312"/>
                <w:color w:val="000000" w:themeColor="text1"/>
                <w:sz w:val="28"/>
                <w:szCs w:val="28"/>
              </w:rPr>
              <w:t>月</w:t>
            </w:r>
            <w:r>
              <w:rPr>
                <w:rFonts w:hint="eastAsia" w:eastAsia="仿宋_GB2312"/>
                <w:color w:val="000000" w:themeColor="text1"/>
                <w:sz w:val="28"/>
                <w:szCs w:val="28"/>
                <w:lang w:val="en-US" w:eastAsia="zh-CN"/>
              </w:rPr>
              <w:t>30</w:t>
            </w:r>
            <w:r>
              <w:rPr>
                <w:rFonts w:eastAsia="仿宋_GB2312"/>
                <w:color w:val="000000" w:themeColor="text1"/>
                <w:sz w:val="28"/>
                <w:szCs w:val="28"/>
              </w:rPr>
              <w:t>日印发</w:t>
            </w:r>
          </w:p>
        </w:tc>
      </w:tr>
    </w:tbl>
    <w:p>
      <w:pPr>
        <w:widowControl/>
        <w:spacing w:line="600" w:lineRule="exact"/>
        <w:jc w:val="center"/>
        <w:rPr>
          <w:rFonts w:ascii="方正小标宋简体" w:hAnsi="方正小标宋简体" w:eastAsia="方正小标宋简体" w:cs="方正小标宋简体"/>
          <w:color w:val="000000"/>
          <w:kern w:val="0"/>
          <w:sz w:val="44"/>
          <w:szCs w:val="44"/>
        </w:rPr>
        <w:sectPr>
          <w:pgSz w:w="11906" w:h="16838"/>
          <w:pgMar w:top="1701" w:right="1474" w:bottom="1417" w:left="1701" w:header="851" w:footer="992" w:gutter="0"/>
          <w:pgNumType w:fmt="numberInDash"/>
          <w:cols w:space="425" w:num="1"/>
          <w:docGrid w:type="lines" w:linePitch="312" w:charSpace="0"/>
        </w:sectPr>
      </w:pPr>
    </w:p>
    <w:p>
      <w:pPr>
        <w:widowControl/>
        <w:spacing w:line="600" w:lineRule="exact"/>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贵港市新增工业用地工程建设项目“拿地</w:t>
      </w:r>
    </w:p>
    <w:p>
      <w:pPr>
        <w:widowControl/>
        <w:spacing w:line="600" w:lineRule="exact"/>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即开工”实施方案（试行）</w:t>
      </w:r>
    </w:p>
    <w:p>
      <w:pPr>
        <w:spacing w:line="600" w:lineRule="exact"/>
        <w:ind w:firstLine="883" w:firstLineChars="200"/>
        <w:jc w:val="center"/>
        <w:rPr>
          <w:b/>
          <w:sz w:val="44"/>
          <w:szCs w:val="44"/>
        </w:rPr>
      </w:pPr>
    </w:p>
    <w:p>
      <w:pPr>
        <w:widowControl/>
        <w:spacing w:line="600" w:lineRule="exact"/>
        <w:ind w:firstLine="640" w:firstLineChars="200"/>
        <w:jc w:val="left"/>
        <w:rPr>
          <w:rFonts w:ascii="仿宋_GB2312" w:eastAsia="仿宋_GB2312"/>
          <w:color w:val="000000" w:themeColor="text1"/>
          <w:sz w:val="32"/>
          <w:szCs w:val="32"/>
          <w:shd w:val="clear" w:color="auto" w:fill="FFFFFF"/>
        </w:rPr>
      </w:pPr>
      <w:r>
        <w:rPr>
          <w:rFonts w:hint="eastAsia" w:ascii="仿宋_GB2312" w:eastAsia="仿宋_GB2312"/>
          <w:color w:val="000000" w:themeColor="text1"/>
          <w:sz w:val="32"/>
          <w:szCs w:val="32"/>
          <w:shd w:val="clear" w:color="auto" w:fill="FFFFFF"/>
        </w:rPr>
        <w:t>为深入贯彻落实国务院、住建部关于工程建设项目审批制度改革要求，进一步优化我市营商环境，更快速度推进工程建设项目开工建设，根据《国务院办公厅关于进一步优化营商环境更好服务市场主体的实施意见》（国办发〔2020〕24号）、《广西壮族自治区大数据发展局关于印发推行</w:t>
      </w:r>
      <w:r>
        <w:rPr>
          <w:rFonts w:ascii="仿宋_GB2312" w:eastAsia="仿宋_GB2312"/>
          <w:color w:val="000000" w:themeColor="text1"/>
          <w:sz w:val="32"/>
          <w:szCs w:val="32"/>
          <w:shd w:val="clear" w:color="auto" w:fill="FFFFFF"/>
        </w:rPr>
        <w:t>政务服务便民利民“微改革”实施方案的通知</w:t>
      </w:r>
      <w:r>
        <w:rPr>
          <w:rFonts w:hint="eastAsia" w:ascii="仿宋_GB2312" w:eastAsia="仿宋_GB2312"/>
          <w:color w:val="000000" w:themeColor="text1"/>
          <w:sz w:val="32"/>
          <w:szCs w:val="32"/>
          <w:shd w:val="clear" w:color="auto" w:fill="FFFFFF"/>
        </w:rPr>
        <w:t>》桂数发〔</w:t>
      </w:r>
      <w:r>
        <w:rPr>
          <w:rFonts w:ascii="仿宋_GB2312" w:eastAsia="仿宋_GB2312"/>
          <w:color w:val="000000" w:themeColor="text1"/>
          <w:sz w:val="32"/>
          <w:szCs w:val="32"/>
          <w:shd w:val="clear" w:color="auto" w:fill="FFFFFF"/>
        </w:rPr>
        <w:t>2021</w:t>
      </w:r>
      <w:r>
        <w:rPr>
          <w:rFonts w:hint="eastAsia" w:ascii="仿宋_GB2312" w:eastAsia="仿宋_GB2312"/>
          <w:color w:val="000000" w:themeColor="text1"/>
          <w:sz w:val="32"/>
          <w:szCs w:val="32"/>
          <w:shd w:val="clear" w:color="auto" w:fill="FFFFFF"/>
        </w:rPr>
        <w:t>〕</w:t>
      </w:r>
      <w:r>
        <w:rPr>
          <w:rFonts w:ascii="仿宋_GB2312" w:eastAsia="仿宋_GB2312"/>
          <w:color w:val="000000" w:themeColor="text1"/>
          <w:sz w:val="32"/>
          <w:szCs w:val="32"/>
          <w:shd w:val="clear" w:color="auto" w:fill="FFFFFF"/>
        </w:rPr>
        <w:t xml:space="preserve">15 </w:t>
      </w:r>
      <w:r>
        <w:rPr>
          <w:rFonts w:hint="eastAsia" w:ascii="仿宋_GB2312" w:eastAsia="仿宋_GB2312"/>
          <w:color w:val="000000" w:themeColor="text1"/>
          <w:sz w:val="32"/>
          <w:szCs w:val="32"/>
          <w:shd w:val="clear" w:color="auto" w:fill="FFFFFF"/>
        </w:rPr>
        <w:t>号等文件精神，结合我市实际，制定本方案。</w:t>
      </w:r>
    </w:p>
    <w:p>
      <w:pPr>
        <w:pStyle w:val="8"/>
        <w:spacing w:line="600" w:lineRule="exact"/>
        <w:ind w:firstLine="640" w:firstLineChars="200"/>
        <w:jc w:val="both"/>
        <w:rPr>
          <w:rFonts w:ascii="黑体" w:hAnsi="黑体" w:eastAsia="黑体" w:cs="黑体"/>
          <w:color w:val="000000" w:themeColor="text1"/>
          <w:sz w:val="32"/>
          <w:szCs w:val="32"/>
          <w:shd w:val="clear" w:color="auto" w:fill="FFFFFF"/>
        </w:rPr>
      </w:pPr>
      <w:r>
        <w:rPr>
          <w:rFonts w:hint="eastAsia" w:ascii="黑体" w:hAnsi="黑体" w:eastAsia="黑体" w:cs="黑体"/>
          <w:color w:val="000000" w:themeColor="text1"/>
          <w:sz w:val="32"/>
          <w:szCs w:val="32"/>
          <w:shd w:val="clear" w:color="auto" w:fill="FFFFFF"/>
        </w:rPr>
        <w:t>一、工作目标</w:t>
      </w:r>
    </w:p>
    <w:p>
      <w:pPr>
        <w:pStyle w:val="8"/>
        <w:spacing w:line="600" w:lineRule="exact"/>
        <w:ind w:firstLine="640" w:firstLineChars="200"/>
        <w:jc w:val="both"/>
        <w:rPr>
          <w:rFonts w:ascii="仿宋_GB2312" w:eastAsia="仿宋_GB2312"/>
          <w:color w:val="000000" w:themeColor="text1"/>
          <w:sz w:val="32"/>
          <w:szCs w:val="32"/>
          <w:shd w:val="clear" w:color="auto" w:fill="FFFFFF"/>
        </w:rPr>
      </w:pPr>
      <w:r>
        <w:rPr>
          <w:rFonts w:hint="eastAsia" w:ascii="仿宋_GB2312" w:eastAsia="仿宋_GB2312"/>
          <w:color w:val="000000" w:themeColor="text1"/>
          <w:sz w:val="32"/>
          <w:szCs w:val="32"/>
          <w:shd w:val="clear" w:color="auto" w:fill="FFFFFF"/>
        </w:rPr>
        <w:t>全面实行“拿地即开工”改革，将告知承诺制、提前审查制、并联审批制作为全市新增工业项目行政审批的常态，在符 合国土空间规划的前提下，最大限度优化审批流程，提高审批 效能，压缩项目从签约到开工的时间，降低企业用地成本，确保项目在交付土地前完成开工所需的全部行政审批事项， 实现“拿地即开工”。</w:t>
      </w:r>
    </w:p>
    <w:p>
      <w:pPr>
        <w:pStyle w:val="8"/>
        <w:spacing w:line="600" w:lineRule="exact"/>
        <w:ind w:firstLine="640" w:firstLineChars="200"/>
        <w:jc w:val="both"/>
        <w:rPr>
          <w:rFonts w:ascii="黑体" w:hAnsi="黑体" w:eastAsia="黑体" w:cs="黑体"/>
          <w:color w:val="000000" w:themeColor="text1"/>
          <w:sz w:val="32"/>
          <w:szCs w:val="32"/>
          <w:shd w:val="clear" w:color="auto" w:fill="FFFFFF"/>
        </w:rPr>
      </w:pPr>
      <w:r>
        <w:rPr>
          <w:rFonts w:hint="eastAsia" w:ascii="黑体" w:hAnsi="黑体" w:eastAsia="黑体" w:cs="黑体"/>
          <w:color w:val="000000" w:themeColor="text1"/>
          <w:sz w:val="32"/>
          <w:szCs w:val="32"/>
          <w:shd w:val="clear" w:color="auto" w:fill="FFFFFF"/>
        </w:rPr>
        <w:t>二、实施范围</w:t>
      </w:r>
    </w:p>
    <w:p>
      <w:pPr>
        <w:pStyle w:val="8"/>
        <w:spacing w:line="600" w:lineRule="exact"/>
        <w:ind w:firstLine="640" w:firstLineChars="200"/>
        <w:jc w:val="both"/>
        <w:rPr>
          <w:rFonts w:ascii="仿宋_GB2312" w:eastAsia="仿宋_GB2312"/>
          <w:color w:val="000000" w:themeColor="text1"/>
          <w:sz w:val="32"/>
          <w:szCs w:val="32"/>
          <w:shd w:val="clear" w:color="auto" w:fill="FFFFFF"/>
        </w:rPr>
      </w:pPr>
      <w:r>
        <w:rPr>
          <w:rFonts w:hint="eastAsia" w:ascii="仿宋_GB2312" w:eastAsia="仿宋_GB2312"/>
          <w:color w:val="000000" w:themeColor="text1"/>
          <w:sz w:val="32"/>
          <w:szCs w:val="32"/>
          <w:shd w:val="clear" w:color="auto" w:fill="FFFFFF"/>
        </w:rPr>
        <w:t>（一）贵港市市辖区范围内工业园区</w:t>
      </w:r>
      <w:r>
        <w:rPr>
          <w:rFonts w:eastAsia="仿宋_GB2312"/>
          <w:color w:val="000000" w:themeColor="text1"/>
          <w:sz w:val="32"/>
          <w:szCs w:val="32"/>
        </w:rPr>
        <w:t>以“标准地”方式出让的</w:t>
      </w:r>
      <w:r>
        <w:rPr>
          <w:rFonts w:hint="eastAsia" w:ascii="仿宋_GB2312" w:eastAsia="仿宋_GB2312"/>
          <w:color w:val="000000" w:themeColor="text1"/>
          <w:sz w:val="32"/>
          <w:szCs w:val="32"/>
          <w:shd w:val="clear" w:color="auto" w:fill="FFFFFF"/>
        </w:rPr>
        <w:t>新增</w:t>
      </w:r>
      <w:r>
        <w:rPr>
          <w:rFonts w:eastAsia="仿宋_GB2312"/>
          <w:color w:val="000000" w:themeColor="text1"/>
          <w:sz w:val="32"/>
          <w:szCs w:val="32"/>
        </w:rPr>
        <w:t>工业</w:t>
      </w:r>
      <w:r>
        <w:rPr>
          <w:rFonts w:hint="eastAsia" w:eastAsia="仿宋_GB2312"/>
          <w:color w:val="000000" w:themeColor="text1"/>
          <w:sz w:val="32"/>
          <w:szCs w:val="32"/>
        </w:rPr>
        <w:t>类</w:t>
      </w:r>
      <w:r>
        <w:rPr>
          <w:rFonts w:eastAsia="仿宋_GB2312"/>
          <w:color w:val="000000" w:themeColor="text1"/>
          <w:sz w:val="32"/>
          <w:szCs w:val="32"/>
        </w:rPr>
        <w:t>项目和</w:t>
      </w:r>
      <w:r>
        <w:rPr>
          <w:rFonts w:hint="eastAsia" w:ascii="仿宋_GB2312" w:hAnsi="仿宋_GB2312" w:eastAsia="仿宋_GB2312" w:cs="仿宋_GB2312"/>
          <w:color w:val="000000" w:themeColor="text1"/>
          <w:sz w:val="32"/>
          <w:szCs w:val="32"/>
        </w:rPr>
        <w:t>社会投资小型低风险项目</w:t>
      </w:r>
      <w:r>
        <w:rPr>
          <w:rFonts w:hint="eastAsia" w:ascii="仿宋_GB2312" w:eastAsia="仿宋_GB2312"/>
          <w:color w:val="000000" w:themeColor="text1"/>
          <w:sz w:val="32"/>
          <w:szCs w:val="32"/>
          <w:shd w:val="clear" w:color="auto" w:fill="FFFFFF"/>
        </w:rPr>
        <w:t>。</w:t>
      </w:r>
    </w:p>
    <w:p>
      <w:pPr>
        <w:pStyle w:val="8"/>
        <w:spacing w:line="600" w:lineRule="exact"/>
        <w:ind w:firstLine="640" w:firstLineChars="200"/>
        <w:jc w:val="both"/>
        <w:rPr>
          <w:rFonts w:ascii="仿宋_GB2312" w:eastAsia="仿宋_GB2312"/>
          <w:color w:val="000000" w:themeColor="text1"/>
          <w:sz w:val="32"/>
          <w:szCs w:val="32"/>
          <w:shd w:val="clear" w:color="auto" w:fill="FFFFFF"/>
        </w:rPr>
      </w:pPr>
      <w:r>
        <w:rPr>
          <w:rFonts w:hint="eastAsia" w:ascii="仿宋_GB2312" w:eastAsia="仿宋_GB2312"/>
          <w:color w:val="000000" w:themeColor="text1"/>
          <w:sz w:val="32"/>
          <w:szCs w:val="32"/>
          <w:shd w:val="clear" w:color="auto" w:fill="FFFFFF"/>
        </w:rPr>
        <w:t>（二）下列工程建设项目除外：</w:t>
      </w:r>
    </w:p>
    <w:p>
      <w:pPr>
        <w:pStyle w:val="8"/>
        <w:spacing w:line="600" w:lineRule="exact"/>
        <w:ind w:firstLine="640" w:firstLineChars="200"/>
        <w:jc w:val="both"/>
        <w:rPr>
          <w:rFonts w:ascii="仿宋_GB2312" w:eastAsia="仿宋_GB2312"/>
          <w:color w:val="000000" w:themeColor="text1"/>
          <w:sz w:val="32"/>
          <w:szCs w:val="32"/>
          <w:shd w:val="clear" w:color="auto" w:fill="FFFFFF"/>
        </w:rPr>
      </w:pPr>
      <w:r>
        <w:rPr>
          <w:rFonts w:hint="eastAsia" w:ascii="仿宋_GB2312" w:eastAsia="仿宋_GB2312"/>
          <w:color w:val="000000" w:themeColor="text1"/>
          <w:sz w:val="32"/>
          <w:szCs w:val="32"/>
          <w:shd w:val="clear" w:color="auto" w:fill="FFFFFF"/>
        </w:rPr>
        <w:t>1.涉及易燃易爆危险品、危险化学品的生产和储存或者技术难度特别复杂的项目；</w:t>
      </w:r>
    </w:p>
    <w:p>
      <w:pPr>
        <w:pStyle w:val="8"/>
        <w:spacing w:line="600" w:lineRule="exact"/>
        <w:ind w:firstLine="640" w:firstLineChars="200"/>
        <w:jc w:val="both"/>
        <w:rPr>
          <w:rFonts w:ascii="仿宋_GB2312" w:eastAsia="仿宋_GB2312"/>
          <w:color w:val="000000" w:themeColor="text1"/>
          <w:sz w:val="32"/>
          <w:szCs w:val="32"/>
          <w:shd w:val="clear" w:color="auto" w:fill="FFFFFF"/>
        </w:rPr>
      </w:pPr>
      <w:r>
        <w:rPr>
          <w:rFonts w:hint="eastAsia" w:ascii="仿宋_GB2312" w:eastAsia="仿宋_GB2312"/>
          <w:color w:val="000000" w:themeColor="text1"/>
          <w:sz w:val="32"/>
          <w:szCs w:val="32"/>
          <w:shd w:val="clear" w:color="auto" w:fill="FFFFFF"/>
        </w:rPr>
        <w:t>2.关系国家安全和生态安全、涉及重大生产力布局、重大公共利益的项目；</w:t>
      </w:r>
    </w:p>
    <w:p>
      <w:pPr>
        <w:pStyle w:val="8"/>
        <w:spacing w:line="600" w:lineRule="exact"/>
        <w:ind w:firstLine="640" w:firstLineChars="200"/>
        <w:jc w:val="both"/>
        <w:rPr>
          <w:rFonts w:ascii="仿宋_GB2312" w:eastAsia="仿宋_GB2312"/>
          <w:color w:val="000000" w:themeColor="text1"/>
          <w:sz w:val="32"/>
          <w:szCs w:val="32"/>
          <w:shd w:val="clear" w:color="auto" w:fill="FFFFFF"/>
        </w:rPr>
      </w:pPr>
      <w:r>
        <w:rPr>
          <w:rFonts w:hint="eastAsia" w:ascii="仿宋_GB2312" w:eastAsia="仿宋_GB2312"/>
          <w:color w:val="000000" w:themeColor="text1"/>
          <w:sz w:val="32"/>
          <w:szCs w:val="32"/>
          <w:shd w:val="clear" w:color="auto" w:fill="FFFFFF"/>
        </w:rPr>
        <w:t>3.交通、水利、能源等领域的重大工程。</w:t>
      </w:r>
    </w:p>
    <w:p>
      <w:pPr>
        <w:pStyle w:val="8"/>
        <w:spacing w:line="600" w:lineRule="exact"/>
        <w:ind w:firstLine="640" w:firstLineChars="200"/>
        <w:jc w:val="both"/>
        <w:rPr>
          <w:rFonts w:ascii="仿宋_GB2312" w:eastAsia="仿宋_GB2312"/>
          <w:color w:val="000000" w:themeColor="text1"/>
          <w:sz w:val="32"/>
          <w:szCs w:val="32"/>
          <w:shd w:val="clear" w:color="auto" w:fill="FFFFFF"/>
        </w:rPr>
      </w:pPr>
      <w:r>
        <w:rPr>
          <w:rFonts w:hint="eastAsia" w:ascii="仿宋_GB2312" w:eastAsia="仿宋_GB2312"/>
          <w:color w:val="000000" w:themeColor="text1"/>
          <w:sz w:val="32"/>
          <w:szCs w:val="32"/>
          <w:shd w:val="clear" w:color="auto" w:fill="FFFFFF"/>
        </w:rPr>
        <w:t>4.</w:t>
      </w:r>
      <w:r>
        <w:rPr>
          <w:rFonts w:ascii="Times New Roman" w:hAnsi="Times New Roman" w:eastAsia="仿宋_GB2312"/>
          <w:color w:val="000000" w:themeColor="text1"/>
          <w:sz w:val="32"/>
          <w:szCs w:val="32"/>
        </w:rPr>
        <w:t>建设项目</w:t>
      </w:r>
      <w:r>
        <w:rPr>
          <w:rFonts w:hint="eastAsia" w:ascii="Times New Roman" w:hAnsi="Times New Roman" w:eastAsia="仿宋_GB2312"/>
          <w:color w:val="000000" w:themeColor="text1"/>
          <w:sz w:val="32"/>
          <w:szCs w:val="32"/>
        </w:rPr>
        <w:t>纳入</w:t>
      </w:r>
      <w:r>
        <w:rPr>
          <w:rFonts w:ascii="Times New Roman" w:hAnsi="Times New Roman" w:eastAsia="仿宋_GB2312"/>
          <w:color w:val="000000" w:themeColor="text1"/>
          <w:sz w:val="32"/>
          <w:szCs w:val="32"/>
        </w:rPr>
        <w:t>生态环境部</w:t>
      </w:r>
      <w:r>
        <w:rPr>
          <w:rFonts w:hint="eastAsia" w:ascii="Times New Roman" w:hAnsi="Times New Roman" w:eastAsia="仿宋_GB2312"/>
          <w:color w:val="000000" w:themeColor="text1"/>
          <w:sz w:val="32"/>
          <w:szCs w:val="32"/>
        </w:rPr>
        <w:t>《建设</w:t>
      </w:r>
      <w:r>
        <w:rPr>
          <w:rFonts w:ascii="Times New Roman" w:hAnsi="Times New Roman" w:eastAsia="仿宋_GB2312"/>
          <w:color w:val="000000" w:themeColor="text1"/>
          <w:sz w:val="32"/>
          <w:szCs w:val="32"/>
        </w:rPr>
        <w:t>项目环境影响评价分类管理名录</w:t>
      </w:r>
      <w:r>
        <w:rPr>
          <w:rFonts w:hint="eastAsia" w:ascii="Times New Roman" w:hAnsi="Times New Roman" w:eastAsia="仿宋_GB2312"/>
          <w:color w:val="000000" w:themeColor="text1"/>
          <w:sz w:val="32"/>
          <w:szCs w:val="32"/>
        </w:rPr>
        <w:t>》</w:t>
      </w:r>
      <w:r>
        <w:rPr>
          <w:rFonts w:ascii="Times New Roman" w:hAnsi="Times New Roman" w:eastAsia="仿宋_GB2312"/>
          <w:color w:val="000000" w:themeColor="text1"/>
          <w:sz w:val="32"/>
          <w:szCs w:val="32"/>
        </w:rPr>
        <w:t>（</w:t>
      </w:r>
      <w:r>
        <w:rPr>
          <w:rFonts w:hint="eastAsia" w:ascii="Times New Roman" w:hAnsi="Times New Roman" w:eastAsia="仿宋_GB2312"/>
          <w:color w:val="000000" w:themeColor="text1"/>
          <w:sz w:val="32"/>
          <w:szCs w:val="32"/>
        </w:rPr>
        <w:t>2021年</w:t>
      </w:r>
      <w:r>
        <w:rPr>
          <w:rFonts w:ascii="Times New Roman" w:hAnsi="Times New Roman" w:eastAsia="仿宋_GB2312"/>
          <w:color w:val="000000" w:themeColor="text1"/>
          <w:sz w:val="32"/>
          <w:szCs w:val="32"/>
        </w:rPr>
        <w:t>版）</w:t>
      </w:r>
      <w:r>
        <w:rPr>
          <w:rFonts w:hint="eastAsia" w:ascii="Times New Roman" w:hAnsi="Times New Roman" w:eastAsia="仿宋_GB2312"/>
          <w:color w:val="000000" w:themeColor="text1"/>
          <w:sz w:val="32"/>
          <w:szCs w:val="32"/>
        </w:rPr>
        <w:t>的范围</w:t>
      </w:r>
      <w:r>
        <w:rPr>
          <w:rFonts w:ascii="Times New Roman" w:hAnsi="Times New Roman" w:eastAsia="仿宋_GB2312"/>
          <w:color w:val="000000" w:themeColor="text1"/>
          <w:sz w:val="32"/>
          <w:szCs w:val="32"/>
        </w:rPr>
        <w:t>内</w:t>
      </w:r>
      <w:r>
        <w:rPr>
          <w:rFonts w:hint="eastAsia" w:ascii="Times New Roman" w:hAnsi="Times New Roman" w:eastAsia="仿宋_GB2312"/>
          <w:color w:val="000000" w:themeColor="text1"/>
          <w:sz w:val="32"/>
          <w:szCs w:val="32"/>
        </w:rPr>
        <w:t>需编制</w:t>
      </w:r>
      <w:r>
        <w:rPr>
          <w:rFonts w:ascii="Times New Roman" w:hAnsi="Times New Roman" w:eastAsia="仿宋_GB2312"/>
          <w:color w:val="000000" w:themeColor="text1"/>
          <w:sz w:val="32"/>
          <w:szCs w:val="32"/>
        </w:rPr>
        <w:t>环境影响报告书和环境影响报告表的项目</w:t>
      </w:r>
      <w:r>
        <w:rPr>
          <w:rFonts w:hint="eastAsia" w:ascii="Times New Roman" w:hAnsi="Times New Roman" w:eastAsia="仿宋_GB2312"/>
          <w:color w:val="000000" w:themeColor="text1"/>
          <w:sz w:val="32"/>
          <w:szCs w:val="32"/>
        </w:rPr>
        <w:t>除外</w:t>
      </w:r>
      <w:r>
        <w:rPr>
          <w:rFonts w:ascii="Times New Roman" w:hAnsi="Times New Roman" w:eastAsia="仿宋_GB2312"/>
          <w:color w:val="000000" w:themeColor="text1"/>
          <w:sz w:val="32"/>
          <w:szCs w:val="32"/>
        </w:rPr>
        <w:t>。</w:t>
      </w:r>
    </w:p>
    <w:p>
      <w:pPr>
        <w:pStyle w:val="8"/>
        <w:spacing w:line="600" w:lineRule="exact"/>
        <w:ind w:firstLine="640" w:firstLineChars="200"/>
        <w:jc w:val="both"/>
        <w:rPr>
          <w:rFonts w:ascii="黑体" w:hAnsi="黑体" w:eastAsia="黑体" w:cs="黑体"/>
          <w:color w:val="000000" w:themeColor="text1"/>
          <w:sz w:val="32"/>
          <w:szCs w:val="32"/>
          <w:shd w:val="clear" w:color="auto" w:fill="FFFFFF"/>
        </w:rPr>
      </w:pPr>
      <w:r>
        <w:rPr>
          <w:rFonts w:hint="eastAsia" w:ascii="黑体" w:hAnsi="黑体" w:eastAsia="黑体" w:cs="黑体"/>
          <w:color w:val="000000" w:themeColor="text1"/>
          <w:sz w:val="32"/>
          <w:szCs w:val="32"/>
          <w:shd w:val="clear" w:color="auto" w:fill="FFFFFF"/>
        </w:rPr>
        <w:t>三、 改革的主要内容</w:t>
      </w:r>
    </w:p>
    <w:p>
      <w:pPr>
        <w:pStyle w:val="8"/>
        <w:spacing w:line="600" w:lineRule="exact"/>
        <w:ind w:firstLine="640" w:firstLineChars="200"/>
        <w:jc w:val="both"/>
        <w:rPr>
          <w:rFonts w:ascii="仿宋_GB2312" w:eastAsia="仿宋_GB2312"/>
          <w:color w:val="000000" w:themeColor="text1"/>
          <w:sz w:val="32"/>
          <w:szCs w:val="32"/>
          <w:shd w:val="clear" w:color="auto" w:fill="FFFFFF"/>
        </w:rPr>
      </w:pPr>
      <w:r>
        <w:rPr>
          <w:rFonts w:hint="eastAsia" w:ascii="仿宋_GB2312" w:eastAsia="仿宋_GB2312"/>
          <w:color w:val="000000" w:themeColor="text1"/>
          <w:sz w:val="32"/>
          <w:szCs w:val="32"/>
          <w:shd w:val="clear" w:color="auto" w:fill="FFFFFF"/>
        </w:rPr>
        <w:t>(一)支持企业拿地前进行工程方案和施工图设计</w:t>
      </w:r>
    </w:p>
    <w:p>
      <w:pPr>
        <w:pStyle w:val="8"/>
        <w:spacing w:line="600" w:lineRule="exact"/>
        <w:ind w:firstLine="640" w:firstLineChars="200"/>
        <w:jc w:val="both"/>
        <w:rPr>
          <w:rFonts w:ascii="仿宋_GB2312" w:eastAsia="仿宋_GB2312"/>
          <w:color w:val="000000" w:themeColor="text1"/>
          <w:sz w:val="32"/>
          <w:szCs w:val="32"/>
          <w:shd w:val="clear" w:color="auto" w:fill="FFFFFF"/>
        </w:rPr>
      </w:pPr>
      <w:r>
        <w:rPr>
          <w:rFonts w:hint="eastAsia" w:ascii="仿宋_GB2312" w:eastAsia="仿宋_GB2312"/>
          <w:color w:val="000000" w:themeColor="text1"/>
          <w:sz w:val="32"/>
          <w:szCs w:val="32"/>
          <w:shd w:val="clear" w:color="auto" w:fill="FFFFFF"/>
        </w:rPr>
        <w:t>投资协议签订后，自然资源、住建部门要同步将项目用地规划条件及建设要求、行业审批的条件和标准、需提交的材料等以书面形式告知企业，支持有条件、有需求、有意愿的企业先行开展地勘、建设工程方案设计和施工图设计等前期工作，相关行政审批部门服务指导前期工作。</w:t>
      </w:r>
    </w:p>
    <w:p>
      <w:pPr>
        <w:pStyle w:val="8"/>
        <w:spacing w:line="600" w:lineRule="exact"/>
        <w:ind w:firstLine="640" w:firstLineChars="200"/>
        <w:jc w:val="both"/>
        <w:rPr>
          <w:rFonts w:ascii="仿宋_GB2312" w:eastAsia="仿宋_GB2312"/>
          <w:color w:val="000000" w:themeColor="text1"/>
          <w:sz w:val="32"/>
          <w:szCs w:val="32"/>
          <w:shd w:val="clear" w:color="auto" w:fill="FFFFFF"/>
        </w:rPr>
      </w:pPr>
      <w:r>
        <w:rPr>
          <w:rFonts w:hint="eastAsia" w:ascii="仿宋_GB2312" w:eastAsia="仿宋_GB2312"/>
          <w:color w:val="000000" w:themeColor="text1"/>
          <w:sz w:val="32"/>
          <w:szCs w:val="32"/>
          <w:shd w:val="clear" w:color="auto" w:fill="FFFFFF"/>
        </w:rPr>
        <w:t>自然资源部门在项目选址确定后及时出具规划条件和用地规划红线图（注明供前期工作使用）。在企业提交建设工程设计方案后，5个工作日内完成审查并出具审查意见书。</w:t>
      </w:r>
    </w:p>
    <w:p>
      <w:pPr>
        <w:pStyle w:val="8"/>
        <w:spacing w:line="600" w:lineRule="exact"/>
        <w:ind w:firstLine="640" w:firstLineChars="200"/>
        <w:jc w:val="both"/>
        <w:rPr>
          <w:rFonts w:ascii="仿宋_GB2312" w:eastAsia="仿宋_GB2312"/>
          <w:color w:val="000000" w:themeColor="text1"/>
          <w:sz w:val="32"/>
          <w:szCs w:val="32"/>
          <w:shd w:val="clear" w:color="auto" w:fill="FFFFFF"/>
        </w:rPr>
      </w:pPr>
      <w:r>
        <w:rPr>
          <w:rFonts w:hint="eastAsia" w:ascii="仿宋_GB2312" w:eastAsia="仿宋_GB2312"/>
          <w:color w:val="000000" w:themeColor="text1"/>
          <w:sz w:val="32"/>
          <w:szCs w:val="32"/>
          <w:shd w:val="clear" w:color="auto" w:fill="FFFFFF"/>
        </w:rPr>
        <w:t>企业在收到自然资源部门对建设工程设计方案审查通过的意见后，委托勘察设计单位完成施工图设计，并按规定委托第三方审查机构对施工图设计文件进行联合审查。 第三方审查机构在5个工作日内先行出具技术审查意见，审查通过的，在企业提交建设工程规划许可证后出具施工图联合审查合格书。</w:t>
      </w:r>
    </w:p>
    <w:p>
      <w:pPr>
        <w:pStyle w:val="8"/>
        <w:spacing w:line="600" w:lineRule="exact"/>
        <w:ind w:firstLine="640" w:firstLineChars="200"/>
        <w:jc w:val="both"/>
        <w:rPr>
          <w:rFonts w:ascii="仿宋_GB2312" w:eastAsia="仿宋_GB2312"/>
          <w:color w:val="000000" w:themeColor="text1"/>
          <w:sz w:val="32"/>
          <w:szCs w:val="32"/>
          <w:shd w:val="clear" w:color="auto" w:fill="FFFFFF"/>
        </w:rPr>
      </w:pPr>
      <w:r>
        <w:rPr>
          <w:rFonts w:hint="eastAsia" w:ascii="仿宋_GB2312" w:eastAsia="仿宋_GB2312"/>
          <w:color w:val="000000" w:themeColor="text1"/>
          <w:sz w:val="32"/>
          <w:szCs w:val="32"/>
          <w:shd w:val="clear" w:color="auto" w:fill="FFFFFF"/>
        </w:rPr>
        <w:t>（二）优化行政审批环节的服务</w:t>
      </w:r>
    </w:p>
    <w:p>
      <w:pPr>
        <w:pStyle w:val="8"/>
        <w:spacing w:line="600" w:lineRule="exact"/>
        <w:ind w:firstLine="640" w:firstLineChars="200"/>
        <w:jc w:val="both"/>
        <w:rPr>
          <w:rFonts w:ascii="仿宋_GB2312" w:eastAsia="仿宋_GB2312"/>
          <w:color w:val="000000" w:themeColor="text1"/>
          <w:sz w:val="32"/>
          <w:szCs w:val="32"/>
          <w:shd w:val="clear" w:color="auto" w:fill="FFFFFF"/>
        </w:rPr>
      </w:pPr>
      <w:r>
        <w:rPr>
          <w:rFonts w:hint="eastAsia" w:ascii="仿宋_GB2312" w:eastAsia="仿宋_GB2312"/>
          <w:color w:val="000000" w:themeColor="text1"/>
          <w:sz w:val="32"/>
          <w:szCs w:val="32"/>
          <w:shd w:val="clear" w:color="auto" w:fill="FFFFFF"/>
        </w:rPr>
        <w:t>全面推行告知承诺制。对符合审批条件的，立即办理; 对暂未达到审批条件，通过事中事后监管能够纠正、不会产生严重后果的，各审批部门凭企业承诺先予作出审批决定，并在审批后按照相关规定进行核查，企业须在承诺时限内完善相关手续。根据《贵港市社会投资工程建设项目事项清单》，工业项目开工涉及的审批服务事项中，除了不能以承诺方式代替的事项,其他事项均实行告知承诺制。本方案下发后，各审批部门应就涉及本部门告知承诺审批事项的法律依据、审批条件和标准、申请人作出承诺的法律效力、履行承诺的时限以及违反承诺后应当承担的法律责任等相关内容，制定告知承诺书格式文本。</w:t>
      </w:r>
    </w:p>
    <w:p>
      <w:pPr>
        <w:pStyle w:val="8"/>
        <w:spacing w:line="600" w:lineRule="exact"/>
        <w:ind w:firstLine="640" w:firstLineChars="200"/>
        <w:jc w:val="both"/>
        <w:rPr>
          <w:rFonts w:ascii="仿宋_GB2312" w:eastAsia="仿宋_GB2312"/>
          <w:color w:val="000000" w:themeColor="text1"/>
          <w:sz w:val="32"/>
          <w:szCs w:val="32"/>
          <w:shd w:val="clear" w:color="auto" w:fill="FFFFFF"/>
        </w:rPr>
      </w:pPr>
      <w:r>
        <w:rPr>
          <w:rFonts w:hint="eastAsia" w:ascii="仿宋_GB2312" w:eastAsia="仿宋_GB2312"/>
          <w:color w:val="000000" w:themeColor="text1"/>
          <w:sz w:val="32"/>
          <w:szCs w:val="32"/>
          <w:shd w:val="clear" w:color="auto" w:fill="FFFFFF"/>
        </w:rPr>
        <w:t>在已开展区域性统一评价的区域内，实行评价成果互认应用。对符合该区域整体规划和产业功能布局，属于主导产业的拟入驻工业项目，将区域性统一评价成果（环评、安评等特殊要求的除外）应用于每宗土地出让方案中，企业不再单独评价，各相关部门不再重复审批。涉及对生态环境、安全生产等有重大影响的特殊行业，或者高于区域性统一评价标准的项目，在投资协议签订之前，由各相关审批部门提出，报同级行政审批部门备案后，按照相关法律法规执行。</w:t>
      </w:r>
    </w:p>
    <w:p>
      <w:pPr>
        <w:pStyle w:val="8"/>
        <w:spacing w:line="600" w:lineRule="exact"/>
        <w:ind w:firstLine="640" w:firstLineChars="200"/>
        <w:jc w:val="both"/>
        <w:rPr>
          <w:rFonts w:ascii="仿宋_GB2312" w:eastAsia="仿宋_GB2312"/>
          <w:color w:val="000000" w:themeColor="text1"/>
          <w:sz w:val="32"/>
          <w:szCs w:val="32"/>
          <w:shd w:val="clear" w:color="auto" w:fill="FFFFFF"/>
        </w:rPr>
      </w:pPr>
      <w:r>
        <w:rPr>
          <w:rFonts w:hint="eastAsia" w:ascii="仿宋_GB2312" w:eastAsia="仿宋_GB2312"/>
          <w:color w:val="000000" w:themeColor="text1"/>
          <w:sz w:val="32"/>
          <w:szCs w:val="32"/>
          <w:shd w:val="clear" w:color="auto" w:fill="FFFFFF"/>
        </w:rPr>
        <w:t>市辖三区人民政府、市产业园区管委会在签订投资协议前应组织项目评审，结合拟入驻项目行业特性和地块空间特性，综合判断列出行政审批事项清单，并确定承诺审批事项种类、承诺内容和承诺时限等，一次性告知企业。投资协议签订后，企业可自行办理或委托“政府代办机构”全程无偿代办项目开工前的行政审批和相关服务事项。企业按要求将各行政审批事项承诺书及相关材料提供给政务服务中心工程建设项目审批改革综合窗口，由窗口将承诺书及相关材料转各审批部门办理后续审批手续。</w:t>
      </w:r>
    </w:p>
    <w:p>
      <w:pPr>
        <w:pStyle w:val="8"/>
        <w:spacing w:line="600" w:lineRule="exact"/>
        <w:ind w:firstLine="640" w:firstLineChars="200"/>
        <w:jc w:val="both"/>
        <w:rPr>
          <w:rFonts w:ascii="仿宋_GB2312" w:eastAsia="仿宋_GB2312"/>
          <w:color w:val="000000" w:themeColor="text1"/>
          <w:sz w:val="32"/>
          <w:szCs w:val="32"/>
          <w:shd w:val="clear" w:color="auto" w:fill="FFFFFF"/>
        </w:rPr>
      </w:pPr>
      <w:r>
        <w:rPr>
          <w:rFonts w:hint="eastAsia" w:ascii="仿宋_GB2312" w:eastAsia="仿宋_GB2312"/>
          <w:color w:val="000000" w:themeColor="text1"/>
          <w:sz w:val="32"/>
          <w:szCs w:val="32"/>
          <w:shd w:val="clear" w:color="auto" w:fill="FFFFFF"/>
        </w:rPr>
        <w:t>（三）</w:t>
      </w:r>
      <w:r>
        <w:rPr>
          <w:rFonts w:hint="eastAsia" w:ascii="仿宋_GB2312" w:eastAsia="仿宋_GB2312"/>
          <w:color w:val="000000" w:themeColor="text1"/>
          <w:sz w:val="32"/>
          <w:szCs w:val="32"/>
          <w:shd w:val="clear" w:color="auto" w:fill="FFFFFF"/>
        </w:rPr>
        <w:tab/>
      </w:r>
      <w:r>
        <w:rPr>
          <w:rFonts w:hint="eastAsia" w:ascii="仿宋_GB2312" w:eastAsia="仿宋_GB2312"/>
          <w:color w:val="000000" w:themeColor="text1"/>
          <w:sz w:val="32"/>
          <w:szCs w:val="32"/>
          <w:shd w:val="clear" w:color="auto" w:fill="FFFFFF"/>
        </w:rPr>
        <w:t>拿地即开工</w:t>
      </w:r>
    </w:p>
    <w:p>
      <w:pPr>
        <w:pStyle w:val="8"/>
        <w:spacing w:line="600" w:lineRule="exact"/>
        <w:ind w:firstLine="640" w:firstLineChars="200"/>
        <w:jc w:val="both"/>
        <w:rPr>
          <w:rFonts w:ascii="仿宋_GB2312" w:eastAsia="仿宋_GB2312"/>
          <w:color w:val="000000" w:themeColor="text1"/>
          <w:sz w:val="32"/>
          <w:szCs w:val="32"/>
          <w:shd w:val="clear" w:color="auto" w:fill="FFFFFF"/>
        </w:rPr>
      </w:pPr>
      <w:r>
        <w:rPr>
          <w:rFonts w:hint="eastAsia" w:ascii="仿宋_GB2312" w:eastAsia="仿宋_GB2312"/>
          <w:color w:val="000000" w:themeColor="text1"/>
          <w:sz w:val="32"/>
          <w:szCs w:val="32"/>
          <w:shd w:val="clear" w:color="auto" w:fill="FFFFFF"/>
        </w:rPr>
        <w:t>市辖三区人民政府、市产业园区管委会要加快已签约项目的土地征迁及市政基础设施配套，尽快达到土地出让和协议约定的开工建设要求。</w:t>
      </w:r>
      <w:r>
        <w:rPr>
          <w:rFonts w:eastAsia="仿宋_GB2312"/>
          <w:color w:val="000000" w:themeColor="text1"/>
          <w:sz w:val="32"/>
          <w:szCs w:val="32"/>
        </w:rPr>
        <w:t>以“标准地”方式出让的</w:t>
      </w:r>
      <w:r>
        <w:rPr>
          <w:rFonts w:hint="eastAsia" w:eastAsia="仿宋_GB2312"/>
          <w:color w:val="000000" w:themeColor="text1"/>
          <w:sz w:val="32"/>
          <w:szCs w:val="32"/>
        </w:rPr>
        <w:t>新增工业用地，</w:t>
      </w:r>
      <w:r>
        <w:rPr>
          <w:rFonts w:hint="eastAsia" w:ascii="仿宋_GB2312" w:eastAsia="仿宋_GB2312"/>
          <w:color w:val="000000" w:themeColor="text1"/>
          <w:sz w:val="32"/>
          <w:szCs w:val="32"/>
          <w:shd w:val="clear" w:color="auto" w:fill="FFFFFF"/>
        </w:rPr>
        <w:t>企业取得土地成交确认书后，同步开展总平面图和设计方案规划批前公示。企业在依法按程序签订国有土地使用权出让合同后，符合法定条件的，自然资源部门3个工作日内核发建设用地规划许可证和建设工程规划许可证；在缴清土地出让价款和相关稅费后，对符合法定条件的，当天核发《不动产权证书》。</w:t>
      </w:r>
      <w:r>
        <w:rPr>
          <w:rFonts w:hint="eastAsia" w:ascii="仿宋_GB2312" w:eastAsia="仿宋_GB2312"/>
          <w:color w:val="000000" w:themeColor="text1"/>
          <w:sz w:val="32"/>
          <w:szCs w:val="32"/>
          <w:shd w:val="clear" w:color="auto" w:fill="FFFFFF"/>
          <w14:textFill>
            <w14:solidFill>
              <w14:schemeClr w14:val="tx1"/>
            </w14:solidFill>
          </w14:textFill>
        </w:rPr>
        <w:t>企业提交由</w:t>
      </w:r>
      <w:r>
        <w:rPr>
          <w:rFonts w:hint="eastAsia" w:ascii="仿宋_GB2312" w:eastAsia="仿宋_GB2312"/>
          <w:color w:val="000000" w:themeColor="text1"/>
          <w:sz w:val="32"/>
          <w:szCs w:val="32"/>
          <w14:textFill>
            <w14:solidFill>
              <w14:schemeClr w14:val="tx1"/>
            </w14:solidFill>
          </w14:textFill>
        </w:rPr>
        <w:t>设计单位出具图纸符合国家规范标准和工程质量安全的承诺(加盖注册师专用章),并提交经专家论证通过后可行的基坑支护和土方开挖施工方案（如涉及需提交，不涉及不需提交）</w:t>
      </w:r>
      <w:r>
        <w:rPr>
          <w:rFonts w:hint="eastAsia" w:ascii="仿宋_GB2312" w:eastAsia="仿宋_GB2312"/>
          <w:color w:val="000000" w:themeColor="text1"/>
          <w:sz w:val="32"/>
          <w:szCs w:val="32"/>
          <w:shd w:val="clear" w:color="auto" w:fill="FFFFFF"/>
          <w14:textFill>
            <w14:solidFill>
              <w14:schemeClr w14:val="tx1"/>
            </w14:solidFill>
          </w14:textFill>
        </w:rPr>
        <w:t>，住建部门2个工作日内</w:t>
      </w:r>
      <w:r>
        <w:rPr>
          <w:rFonts w:hint="eastAsia" w:ascii="仿宋_GB2312" w:eastAsia="仿宋_GB2312"/>
          <w:color w:val="000000" w:themeColor="text1"/>
          <w:sz w:val="32"/>
          <w:szCs w:val="32"/>
          <w14:textFill>
            <w14:solidFill>
              <w14:schemeClr w14:val="tx1"/>
            </w14:solidFill>
          </w14:textFill>
        </w:rPr>
        <w:t>先行</w:t>
      </w:r>
      <w:r>
        <w:rPr>
          <w:rFonts w:hint="eastAsia" w:ascii="仿宋_GB2312" w:eastAsia="仿宋_GB2312"/>
          <w:color w:val="000000" w:themeColor="text1"/>
          <w:sz w:val="32"/>
          <w:szCs w:val="32"/>
          <w:shd w:val="clear" w:color="auto" w:fill="FFFFFF"/>
          <w14:textFill>
            <w14:solidFill>
              <w14:schemeClr w14:val="tx1"/>
            </w14:solidFill>
          </w14:textFill>
        </w:rPr>
        <w:t>核发</w:t>
      </w:r>
      <w:r>
        <w:rPr>
          <w:rFonts w:hint="eastAsia" w:ascii="仿宋_GB2312" w:eastAsia="仿宋_GB2312"/>
          <w:color w:val="000000" w:themeColor="text1"/>
          <w:sz w:val="32"/>
          <w:szCs w:val="32"/>
          <w14:textFill>
            <w14:solidFill>
              <w14:schemeClr w14:val="tx1"/>
            </w14:solidFill>
          </w14:textFill>
        </w:rPr>
        <w:t>办理基坑支护和土方开挖阶段的施工许可证，进行开工建设。主体工程阶段的施工许可证，待业主提交工程整体的施工图审查合格文件后再进行办理。</w:t>
      </w:r>
    </w:p>
    <w:p>
      <w:pPr>
        <w:pStyle w:val="8"/>
        <w:spacing w:line="600" w:lineRule="exact"/>
        <w:ind w:firstLine="640" w:firstLineChars="200"/>
        <w:jc w:val="both"/>
        <w:rPr>
          <w:rFonts w:ascii="仿宋_GB2312" w:eastAsia="仿宋_GB2312"/>
          <w:color w:val="000000" w:themeColor="text1"/>
          <w:sz w:val="32"/>
          <w:szCs w:val="32"/>
          <w:shd w:val="clear" w:color="auto" w:fill="FFFFFF"/>
        </w:rPr>
      </w:pPr>
      <w:r>
        <w:rPr>
          <w:rFonts w:eastAsia="仿宋_GB2312"/>
          <w:color w:val="000000" w:themeColor="text1"/>
          <w:sz w:val="32"/>
          <w:szCs w:val="32"/>
        </w:rPr>
        <w:t>符合法定规划要求且不涉及规划调整、不影响周边主体相邻权等合法权益的</w:t>
      </w:r>
      <w:r>
        <w:rPr>
          <w:rFonts w:hint="eastAsia" w:ascii="仿宋_GB2312" w:hAnsi="仿宋_GB2312" w:eastAsia="仿宋_GB2312" w:cs="仿宋_GB2312"/>
          <w:color w:val="000000" w:themeColor="text1"/>
          <w:sz w:val="32"/>
          <w:szCs w:val="32"/>
        </w:rPr>
        <w:t>社会投资小型低风险项目，</w:t>
      </w:r>
      <w:r>
        <w:rPr>
          <w:rFonts w:hint="eastAsia" w:ascii="仿宋_GB2312" w:eastAsia="仿宋_GB2312"/>
          <w:color w:val="000000" w:themeColor="text1"/>
          <w:sz w:val="32"/>
          <w:szCs w:val="32"/>
          <w:shd w:val="clear" w:color="auto" w:fill="FFFFFF"/>
        </w:rPr>
        <w:t>企业在依法按程序签订国有土地使用权出让合同后，</w:t>
      </w:r>
      <w:r>
        <w:rPr>
          <w:rFonts w:hint="eastAsia" w:ascii="仿宋_GB2312" w:hAnsi="仿宋_GB2312" w:eastAsia="仿宋_GB2312" w:cs="仿宋_GB2312"/>
          <w:color w:val="000000" w:themeColor="text1"/>
          <w:sz w:val="32"/>
          <w:szCs w:val="32"/>
        </w:rPr>
        <w:t>可根据</w:t>
      </w:r>
      <w:r>
        <w:rPr>
          <w:rFonts w:eastAsia="仿宋_GB2312"/>
          <w:color w:val="000000" w:themeColor="text1"/>
          <w:sz w:val="32"/>
          <w:szCs w:val="32"/>
        </w:rPr>
        <w:t>《广西壮族自治区大数据发展局关于印发</w:t>
      </w:r>
      <w:r>
        <w:rPr>
          <w:rFonts w:eastAsia="仿宋"/>
          <w:color w:val="000000" w:themeColor="text1"/>
          <w:sz w:val="32"/>
          <w:szCs w:val="32"/>
        </w:rPr>
        <w:t>〈</w:t>
      </w:r>
      <w:r>
        <w:rPr>
          <w:rFonts w:eastAsia="仿宋_GB2312"/>
          <w:color w:val="000000" w:themeColor="text1"/>
          <w:sz w:val="32"/>
          <w:szCs w:val="32"/>
        </w:rPr>
        <w:t>广西壮族自治区承诺审批办法（试行）</w:t>
      </w:r>
      <w:r>
        <w:rPr>
          <w:rFonts w:eastAsia="仿宋"/>
          <w:color w:val="000000" w:themeColor="text1"/>
          <w:sz w:val="32"/>
          <w:szCs w:val="32"/>
        </w:rPr>
        <w:t>〉</w:t>
      </w:r>
      <w:r>
        <w:rPr>
          <w:rFonts w:eastAsia="仿宋_GB2312"/>
          <w:color w:val="000000" w:themeColor="text1"/>
          <w:sz w:val="32"/>
          <w:szCs w:val="32"/>
        </w:rPr>
        <w:t>的通知》（桂数发〔2020〕27号）</w:t>
      </w:r>
      <w:r>
        <w:rPr>
          <w:rFonts w:hint="eastAsia" w:eastAsia="仿宋_GB2312"/>
          <w:color w:val="000000" w:themeColor="text1"/>
          <w:sz w:val="32"/>
          <w:szCs w:val="32"/>
        </w:rPr>
        <w:t>、《贵港市工程建设项目审批制度改革领导小组办公室关于印发贵港市工程建设项目审批告知承诺制试行方案的通知》</w:t>
      </w:r>
      <w:r>
        <w:rPr>
          <w:rFonts w:ascii="仿宋_GB2312" w:hAnsi="宋体" w:eastAsia="仿宋_GB2312" w:cs="仿宋_GB2312"/>
          <w:color w:val="000000" w:themeColor="text1"/>
          <w:sz w:val="31"/>
          <w:szCs w:val="31"/>
        </w:rPr>
        <w:t>贵审改〔2019〕3 号</w:t>
      </w:r>
      <w:r>
        <w:rPr>
          <w:rFonts w:hint="eastAsia" w:eastAsia="仿宋_GB2312"/>
          <w:color w:val="000000" w:themeColor="text1"/>
          <w:sz w:val="32"/>
          <w:szCs w:val="32"/>
        </w:rPr>
        <w:t>等文件</w:t>
      </w:r>
      <w:r>
        <w:rPr>
          <w:rFonts w:hint="eastAsia" w:ascii="仿宋_GB2312" w:hAnsi="仿宋_GB2312" w:eastAsia="仿宋_GB2312" w:cs="仿宋_GB2312"/>
          <w:color w:val="000000" w:themeColor="text1"/>
          <w:sz w:val="32"/>
          <w:szCs w:val="32"/>
        </w:rPr>
        <w:t>实行承诺制审批，并将建设用地规划许可证、建设工程规划许可证、建筑工程施工许可证、</w:t>
      </w:r>
      <w:r>
        <w:rPr>
          <w:rFonts w:hint="eastAsia" w:ascii="仿宋_GB2312" w:eastAsia="仿宋_GB2312"/>
          <w:color w:val="000000" w:themeColor="text1"/>
          <w:sz w:val="32"/>
          <w:szCs w:val="32"/>
          <w:shd w:val="clear" w:color="auto" w:fill="FFFFFF"/>
        </w:rPr>
        <w:t>不动产权证书</w:t>
      </w:r>
      <w:r>
        <w:rPr>
          <w:rFonts w:hint="eastAsia" w:ascii="仿宋_GB2312" w:hAnsi="仿宋_GB2312" w:eastAsia="仿宋_GB2312" w:cs="仿宋_GB2312"/>
          <w:color w:val="000000" w:themeColor="text1"/>
          <w:sz w:val="32"/>
          <w:szCs w:val="32"/>
        </w:rPr>
        <w:t>并联办理。</w:t>
      </w:r>
      <w:r>
        <w:rPr>
          <w:rFonts w:eastAsia="仿宋_GB2312"/>
          <w:color w:val="000000" w:themeColor="text1"/>
          <w:sz w:val="32"/>
          <w:szCs w:val="32"/>
        </w:rPr>
        <w:t>申请者按照要求作出书面承诺后，由</w:t>
      </w:r>
      <w:r>
        <w:rPr>
          <w:rFonts w:hint="eastAsia" w:ascii="仿宋_GB2312" w:eastAsia="仿宋_GB2312"/>
          <w:color w:val="000000" w:themeColor="text1"/>
          <w:sz w:val="32"/>
          <w:szCs w:val="32"/>
          <w:shd w:val="clear" w:color="auto" w:fill="FFFFFF"/>
        </w:rPr>
        <w:t>各审批部门</w:t>
      </w:r>
      <w:r>
        <w:rPr>
          <w:rFonts w:eastAsia="仿宋_GB2312"/>
          <w:color w:val="000000" w:themeColor="text1"/>
          <w:sz w:val="32"/>
          <w:szCs w:val="32"/>
        </w:rPr>
        <w:t>根据申请者信用等情况</w:t>
      </w:r>
      <w:r>
        <w:rPr>
          <w:rFonts w:hint="eastAsia" w:eastAsia="仿宋_GB2312"/>
          <w:color w:val="000000" w:themeColor="text1"/>
          <w:sz w:val="32"/>
          <w:szCs w:val="32"/>
        </w:rPr>
        <w:t>做出决定，</w:t>
      </w:r>
      <w:r>
        <w:rPr>
          <w:rFonts w:hint="eastAsia" w:ascii="仿宋_GB2312" w:hAnsi="仿宋_GB2312" w:eastAsia="仿宋_GB2312" w:cs="仿宋_GB2312"/>
          <w:color w:val="000000" w:themeColor="text1"/>
          <w:sz w:val="32"/>
          <w:szCs w:val="32"/>
        </w:rPr>
        <w:t>5个工作日内一并核发建设用地规划许可证、建设工程规划许可证、</w:t>
      </w:r>
      <w:r>
        <w:rPr>
          <w:rFonts w:hint="eastAsia" w:ascii="仿宋_GB2312" w:eastAsia="仿宋_GB2312"/>
          <w:color w:val="000000" w:themeColor="text1"/>
          <w:sz w:val="32"/>
          <w:szCs w:val="32"/>
          <w:shd w:val="clear" w:color="auto" w:fill="FFFFFF"/>
        </w:rPr>
        <w:t>不动产权证书、</w:t>
      </w:r>
      <w:r>
        <w:rPr>
          <w:rFonts w:hint="eastAsia" w:ascii="仿宋_GB2312" w:hAnsi="仿宋_GB2312" w:eastAsia="仿宋_GB2312" w:cs="仿宋_GB2312"/>
          <w:color w:val="000000" w:themeColor="text1"/>
          <w:sz w:val="32"/>
          <w:szCs w:val="32"/>
        </w:rPr>
        <w:t>建筑工程施工许可证。行政</w:t>
      </w:r>
      <w:r>
        <w:rPr>
          <w:rFonts w:eastAsia="仿宋_GB2312"/>
          <w:color w:val="000000" w:themeColor="text1"/>
          <w:sz w:val="32"/>
          <w:szCs w:val="32"/>
        </w:rPr>
        <w:t>许可证</w:t>
      </w:r>
      <w:r>
        <w:rPr>
          <w:rFonts w:hint="eastAsia" w:eastAsia="仿宋_GB2312"/>
          <w:color w:val="000000" w:themeColor="text1"/>
          <w:sz w:val="32"/>
          <w:szCs w:val="32"/>
        </w:rPr>
        <w:t>书</w:t>
      </w:r>
      <w:r>
        <w:rPr>
          <w:rFonts w:eastAsia="仿宋_GB2312"/>
          <w:color w:val="000000" w:themeColor="text1"/>
          <w:sz w:val="32"/>
          <w:szCs w:val="32"/>
        </w:rPr>
        <w:t>应标识“承诺审批”字样，明确有效期限，待承诺事项兑现并经核验无误后，收回“承诺审批”字样证书，换发普通证书。</w:t>
      </w:r>
    </w:p>
    <w:p>
      <w:pPr>
        <w:pStyle w:val="8"/>
        <w:spacing w:line="600" w:lineRule="exact"/>
        <w:ind w:firstLine="640" w:firstLineChars="200"/>
        <w:jc w:val="both"/>
        <w:rPr>
          <w:rFonts w:ascii="仿宋_GB2312" w:eastAsia="仿宋_GB2312"/>
          <w:color w:val="000000" w:themeColor="text1"/>
          <w:sz w:val="32"/>
          <w:szCs w:val="32"/>
          <w:shd w:val="clear" w:color="auto" w:fill="FFFFFF"/>
        </w:rPr>
      </w:pPr>
      <w:r>
        <w:rPr>
          <w:rFonts w:hint="eastAsia" w:ascii="仿宋_GB2312" w:eastAsia="仿宋_GB2312"/>
          <w:color w:val="000000" w:themeColor="text1"/>
          <w:sz w:val="32"/>
          <w:szCs w:val="32"/>
          <w:shd w:val="clear" w:color="auto" w:fill="FFFFFF"/>
        </w:rPr>
        <w:t>（四）</w:t>
      </w:r>
      <w:r>
        <w:rPr>
          <w:rFonts w:hint="eastAsia" w:ascii="仿宋_GB2312" w:eastAsia="仿宋_GB2312"/>
          <w:color w:val="000000" w:themeColor="text1"/>
          <w:sz w:val="32"/>
          <w:szCs w:val="32"/>
          <w:shd w:val="clear" w:color="auto" w:fill="FFFFFF"/>
        </w:rPr>
        <w:tab/>
      </w:r>
      <w:r>
        <w:rPr>
          <w:rFonts w:hint="eastAsia" w:ascii="仿宋_GB2312" w:eastAsia="仿宋_GB2312"/>
          <w:color w:val="000000" w:themeColor="text1"/>
          <w:sz w:val="32"/>
          <w:szCs w:val="32"/>
          <w:shd w:val="clear" w:color="auto" w:fill="FFFFFF"/>
        </w:rPr>
        <w:t>加强事中事后监管</w:t>
      </w:r>
    </w:p>
    <w:p>
      <w:pPr>
        <w:pStyle w:val="8"/>
        <w:spacing w:line="600" w:lineRule="exact"/>
        <w:ind w:firstLine="640" w:firstLineChars="200"/>
        <w:jc w:val="both"/>
        <w:rPr>
          <w:rFonts w:ascii="仿宋_GB2312" w:eastAsia="仿宋_GB2312"/>
          <w:color w:val="000000" w:themeColor="text1"/>
          <w:sz w:val="32"/>
          <w:szCs w:val="32"/>
          <w:shd w:val="clear" w:color="auto" w:fill="FFFFFF"/>
        </w:rPr>
      </w:pPr>
      <w:r>
        <w:rPr>
          <w:rFonts w:hint="eastAsia" w:ascii="仿宋_GB2312" w:eastAsia="仿宋_GB2312"/>
          <w:color w:val="000000" w:themeColor="text1"/>
          <w:sz w:val="32"/>
          <w:szCs w:val="32"/>
          <w:shd w:val="clear" w:color="auto" w:fill="FFFFFF"/>
        </w:rPr>
        <w:t>实行“拿地即开工”改革的工业项目，各行政审批部门按照告知承诺制作出审批决定后，根据“谁审批谁监管”原则，各司其职，在事中事后对申请人是否履行承诺内容进行协调落实。</w:t>
      </w:r>
    </w:p>
    <w:p>
      <w:pPr>
        <w:pStyle w:val="8"/>
        <w:spacing w:line="600" w:lineRule="exact"/>
        <w:ind w:firstLine="640" w:firstLineChars="200"/>
        <w:jc w:val="both"/>
        <w:rPr>
          <w:rFonts w:ascii="仿宋_GB2312" w:eastAsia="仿宋_GB2312"/>
          <w:color w:val="000000" w:themeColor="text1"/>
          <w:sz w:val="32"/>
          <w:szCs w:val="32"/>
          <w:shd w:val="clear" w:color="auto" w:fill="FFFFFF"/>
        </w:rPr>
      </w:pPr>
      <w:r>
        <w:rPr>
          <w:rFonts w:hint="eastAsia" w:ascii="仿宋_GB2312" w:eastAsia="仿宋_GB2312"/>
          <w:color w:val="000000" w:themeColor="text1"/>
          <w:sz w:val="32"/>
          <w:szCs w:val="32"/>
          <w:shd w:val="clear" w:color="auto" w:fill="FFFFFF"/>
        </w:rPr>
        <w:t>申请人应当在承诺期限内提交应补充的材料或达到法定条件。未提交材料、提交的材料不符合要求且无法补正的，审批部门可以撤销审批决定，并依法依规追究申请人的相应责任。</w:t>
      </w:r>
    </w:p>
    <w:p>
      <w:pPr>
        <w:pStyle w:val="8"/>
        <w:spacing w:line="600" w:lineRule="exact"/>
        <w:ind w:firstLine="640" w:firstLineChars="200"/>
        <w:jc w:val="both"/>
        <w:rPr>
          <w:rFonts w:ascii="仿宋_GB2312" w:eastAsia="仿宋_GB2312"/>
          <w:color w:val="000000" w:themeColor="text1"/>
          <w:sz w:val="32"/>
          <w:szCs w:val="32"/>
          <w:shd w:val="clear" w:color="auto" w:fill="FFFFFF"/>
        </w:rPr>
      </w:pPr>
      <w:r>
        <w:rPr>
          <w:rFonts w:hint="eastAsia" w:ascii="仿宋_GB2312" w:eastAsia="仿宋_GB2312"/>
          <w:color w:val="000000" w:themeColor="text1"/>
          <w:sz w:val="32"/>
          <w:szCs w:val="32"/>
          <w:shd w:val="clear" w:color="auto" w:fill="FFFFFF"/>
        </w:rPr>
        <w:t>行业主管（监管）部门要指导工业项目按照相关标准和规范进行施工，完善相关手续，并对是否按承诺标准、设计要求开展施工进行监管服务。行业主管（监管）部门要结合实际情况，制定相关动态监管办法，对发现项目建设中未按承诺要求实施的现象进行分类处置，对可通过整改、完善达到承诺要求的一般性违反承诺现象，通过出具提示函、整改建议书等方式，要求企业限期整改完善；对涉及质量安全、隐蔽性工程等严重违反承诺的现象，要依法依规立即下达停工通知，要求企业限期整改到位，并给予相应处罚。对经整改仍未达标或无法整改达标的项目，应当函告各审批部门依法撤销行政审批决定，终止适用本方案的相关规定，依法依规追究企业责任，并将企业不实承诺和违反承诺的行为列入企业信用档案，同时推送到信用信息平台，实施联合惩戒。</w:t>
      </w:r>
    </w:p>
    <w:p>
      <w:pPr>
        <w:pStyle w:val="8"/>
        <w:spacing w:line="600" w:lineRule="exact"/>
        <w:ind w:firstLine="640" w:firstLineChars="200"/>
        <w:jc w:val="both"/>
        <w:rPr>
          <w:rFonts w:ascii="黑体" w:hAnsi="黑体" w:eastAsia="黑体" w:cs="黑体"/>
          <w:color w:val="000000" w:themeColor="text1"/>
          <w:sz w:val="32"/>
          <w:szCs w:val="32"/>
          <w:shd w:val="clear" w:color="auto" w:fill="FFFFFF"/>
        </w:rPr>
      </w:pPr>
      <w:r>
        <w:rPr>
          <w:rFonts w:hint="eastAsia" w:ascii="黑体" w:hAnsi="黑体" w:eastAsia="黑体" w:cs="黑体"/>
          <w:color w:val="000000" w:themeColor="text1"/>
          <w:sz w:val="32"/>
          <w:szCs w:val="32"/>
          <w:shd w:val="clear" w:color="auto" w:fill="FFFFFF"/>
        </w:rPr>
        <w:t>四、 其他事项</w:t>
      </w:r>
    </w:p>
    <w:p>
      <w:pPr>
        <w:pStyle w:val="8"/>
        <w:spacing w:line="600" w:lineRule="exact"/>
        <w:ind w:firstLine="640" w:firstLineChars="200"/>
        <w:jc w:val="both"/>
        <w:rPr>
          <w:rFonts w:ascii="仿宋_GB2312" w:eastAsia="仿宋_GB2312"/>
          <w:color w:val="000000" w:themeColor="text1"/>
          <w:sz w:val="32"/>
          <w:szCs w:val="32"/>
          <w:shd w:val="clear" w:color="auto" w:fill="FFFFFF"/>
        </w:rPr>
      </w:pPr>
      <w:r>
        <w:rPr>
          <w:rFonts w:hint="eastAsia" w:ascii="仿宋_GB2312" w:eastAsia="仿宋_GB2312"/>
          <w:color w:val="000000" w:themeColor="text1"/>
          <w:sz w:val="32"/>
          <w:szCs w:val="32"/>
          <w:shd w:val="clear" w:color="auto" w:fill="FFFFFF"/>
        </w:rPr>
        <w:t>（一）</w:t>
      </w:r>
      <w:r>
        <w:rPr>
          <w:rFonts w:hint="eastAsia" w:ascii="仿宋_GB2312" w:eastAsia="仿宋_GB2312"/>
          <w:color w:val="000000" w:themeColor="text1"/>
          <w:sz w:val="32"/>
          <w:szCs w:val="32"/>
          <w:shd w:val="clear" w:color="auto" w:fill="FFFFFF"/>
        </w:rPr>
        <w:tab/>
      </w:r>
      <w:r>
        <w:rPr>
          <w:rFonts w:hint="eastAsia" w:ascii="仿宋_GB2312" w:eastAsia="仿宋_GB2312"/>
          <w:color w:val="000000" w:themeColor="text1"/>
          <w:sz w:val="32"/>
          <w:szCs w:val="32"/>
          <w:shd w:val="clear" w:color="auto" w:fill="FFFFFF"/>
        </w:rPr>
        <w:t>工业项目涉及依法须招标的事项，按相关规定办理。</w:t>
      </w:r>
    </w:p>
    <w:p>
      <w:pPr>
        <w:pStyle w:val="8"/>
        <w:spacing w:line="600" w:lineRule="exact"/>
        <w:ind w:firstLine="640" w:firstLineChars="200"/>
        <w:jc w:val="both"/>
        <w:rPr>
          <w:rFonts w:ascii="仿宋_GB2312" w:eastAsia="仿宋_GB2312"/>
          <w:color w:val="000000" w:themeColor="text1"/>
          <w:sz w:val="32"/>
          <w:szCs w:val="32"/>
          <w:shd w:val="clear" w:color="auto" w:fill="FFFFFF"/>
        </w:rPr>
      </w:pPr>
      <w:r>
        <w:rPr>
          <w:rFonts w:hint="eastAsia" w:ascii="仿宋_GB2312" w:eastAsia="仿宋_GB2312"/>
          <w:color w:val="000000" w:themeColor="text1"/>
          <w:sz w:val="32"/>
          <w:szCs w:val="32"/>
          <w:shd w:val="clear" w:color="auto" w:fill="FFFFFF"/>
        </w:rPr>
        <w:t>（二）</w:t>
      </w:r>
      <w:r>
        <w:rPr>
          <w:rFonts w:hint="eastAsia" w:ascii="仿宋_GB2312" w:eastAsia="仿宋_GB2312"/>
          <w:color w:val="000000" w:themeColor="text1"/>
          <w:sz w:val="32"/>
          <w:szCs w:val="32"/>
          <w:shd w:val="clear" w:color="auto" w:fill="FFFFFF"/>
        </w:rPr>
        <w:tab/>
      </w:r>
      <w:r>
        <w:rPr>
          <w:rFonts w:hint="eastAsia" w:ascii="仿宋_GB2312" w:eastAsia="仿宋_GB2312"/>
          <w:color w:val="000000" w:themeColor="text1"/>
          <w:sz w:val="32"/>
          <w:szCs w:val="32"/>
          <w:shd w:val="clear" w:color="auto" w:fill="FFFFFF"/>
        </w:rPr>
        <w:t>市辖三区人民政府、产业园区管委会要进一步扩大开展区域性统一评价的范围和事项，在投资协议中应明确固</w:t>
      </w:r>
    </w:p>
    <w:p>
      <w:pPr>
        <w:pStyle w:val="8"/>
        <w:spacing w:line="600" w:lineRule="exact"/>
        <w:ind w:firstLine="640" w:firstLineChars="200"/>
        <w:jc w:val="both"/>
        <w:rPr>
          <w:rFonts w:ascii="仿宋_GB2312" w:eastAsia="仿宋_GB2312"/>
          <w:color w:val="000000" w:themeColor="text1"/>
          <w:sz w:val="32"/>
          <w:szCs w:val="32"/>
          <w:shd w:val="clear" w:color="auto" w:fill="FFFFFF"/>
        </w:rPr>
      </w:pPr>
      <w:r>
        <w:rPr>
          <w:rFonts w:hint="eastAsia" w:ascii="仿宋_GB2312" w:eastAsia="仿宋_GB2312"/>
          <w:color w:val="000000" w:themeColor="text1"/>
          <w:sz w:val="32"/>
          <w:szCs w:val="32"/>
          <w:shd w:val="clear" w:color="auto" w:fill="FFFFFF"/>
        </w:rPr>
        <w:t>定资产投资强度、建筑容积率、亩均税收等指标，以及考核办法、违约责任等事项；要组织相关部门按照投资协议，对工业项目开展竣工验收和达产复核；园区要对项目固定资产投资强度、亩均税收等指标进行考核，不达标的，严格按协议约定处理。</w:t>
      </w:r>
    </w:p>
    <w:p>
      <w:pPr>
        <w:pStyle w:val="8"/>
        <w:spacing w:line="600" w:lineRule="exact"/>
        <w:ind w:firstLine="640" w:firstLineChars="200"/>
        <w:jc w:val="both"/>
        <w:rPr>
          <w:rFonts w:ascii="仿宋_GB2312" w:eastAsia="仿宋_GB2312"/>
          <w:color w:val="000000" w:themeColor="text1"/>
          <w:sz w:val="32"/>
          <w:szCs w:val="32"/>
          <w:shd w:val="clear" w:color="auto" w:fill="FFFFFF"/>
        </w:rPr>
      </w:pPr>
      <w:r>
        <w:rPr>
          <w:rFonts w:hint="eastAsia" w:ascii="仿宋_GB2312" w:eastAsia="仿宋_GB2312"/>
          <w:color w:val="000000" w:themeColor="text1"/>
          <w:sz w:val="32"/>
          <w:szCs w:val="32"/>
          <w:shd w:val="clear" w:color="auto" w:fill="FFFFFF"/>
        </w:rPr>
        <w:t>（三）各县（市、区）人民政府、产业园区管委会和各审批部门可结合实际根据本方案制定具体实施细则。</w:t>
      </w:r>
    </w:p>
    <w:p>
      <w:pPr>
        <w:pStyle w:val="8"/>
        <w:spacing w:line="600" w:lineRule="exact"/>
        <w:ind w:firstLine="640" w:firstLineChars="200"/>
        <w:jc w:val="both"/>
        <w:rPr>
          <w:rFonts w:ascii="仿宋_GB2312" w:eastAsia="仿宋_GB2312"/>
          <w:color w:val="000000" w:themeColor="text1"/>
          <w:sz w:val="32"/>
          <w:szCs w:val="32"/>
          <w:shd w:val="clear" w:color="auto" w:fill="FFFFFF"/>
        </w:rPr>
      </w:pPr>
      <w:r>
        <w:rPr>
          <w:rFonts w:hint="eastAsia" w:ascii="仿宋_GB2312" w:eastAsia="仿宋_GB2312"/>
          <w:color w:val="000000" w:themeColor="text1"/>
          <w:sz w:val="32"/>
          <w:szCs w:val="32"/>
          <w:shd w:val="clear" w:color="auto" w:fill="FFFFFF"/>
        </w:rPr>
        <w:t>本方案自印发之日起施行。本方案施行期间国家、自治区出台新规定的，从其规定。</w:t>
      </w:r>
    </w:p>
    <w:sectPr>
      <w:footerReference r:id="rId3" w:type="default"/>
      <w:pgSz w:w="11906" w:h="16838"/>
      <w:pgMar w:top="1701" w:right="1474" w:bottom="1417" w:left="1701"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panose1 w:val="02020309000000000000"/>
    <w:charset w:val="88"/>
    <w:family w:val="modern"/>
    <w:pitch w:val="default"/>
    <w:sig w:usb0="00000003" w:usb1="082E0000" w:usb2="00000016" w:usb3="00000000" w:csb0="0010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7" o:spid="_x0000_s4097" o:spt="202" type="#_x0000_t202" style="position:absolute;left:0pt;margin-top:0pt;height:144pt;width:144pt;mso-position-horizontal:right;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2"/>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- 1 -</w:t>
                </w:r>
                <w:r>
                  <w:rPr>
                    <w:rFonts w:hint="eastAsia"/>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A500120"/>
    <w:rsid w:val="00041FB2"/>
    <w:rsid w:val="00055DC0"/>
    <w:rsid w:val="000C5B17"/>
    <w:rsid w:val="000E51CF"/>
    <w:rsid w:val="000F526B"/>
    <w:rsid w:val="00100431"/>
    <w:rsid w:val="00103F41"/>
    <w:rsid w:val="0016540B"/>
    <w:rsid w:val="001C0364"/>
    <w:rsid w:val="001C097E"/>
    <w:rsid w:val="001F5465"/>
    <w:rsid w:val="002140A1"/>
    <w:rsid w:val="00244044"/>
    <w:rsid w:val="00257FE3"/>
    <w:rsid w:val="0026751E"/>
    <w:rsid w:val="00272855"/>
    <w:rsid w:val="002752EE"/>
    <w:rsid w:val="0029182C"/>
    <w:rsid w:val="002C1B7B"/>
    <w:rsid w:val="002F0AFD"/>
    <w:rsid w:val="00306DD9"/>
    <w:rsid w:val="003535DA"/>
    <w:rsid w:val="00384E45"/>
    <w:rsid w:val="003A16A8"/>
    <w:rsid w:val="003E232A"/>
    <w:rsid w:val="003F2AA9"/>
    <w:rsid w:val="0046588F"/>
    <w:rsid w:val="00492001"/>
    <w:rsid w:val="004A34A5"/>
    <w:rsid w:val="00510EF5"/>
    <w:rsid w:val="00581793"/>
    <w:rsid w:val="005B6CC1"/>
    <w:rsid w:val="005C0F64"/>
    <w:rsid w:val="005D24B1"/>
    <w:rsid w:val="006616BC"/>
    <w:rsid w:val="00673A26"/>
    <w:rsid w:val="006E6643"/>
    <w:rsid w:val="006F1071"/>
    <w:rsid w:val="006F51F1"/>
    <w:rsid w:val="00701401"/>
    <w:rsid w:val="00730922"/>
    <w:rsid w:val="00741D2A"/>
    <w:rsid w:val="00781ED5"/>
    <w:rsid w:val="007948C6"/>
    <w:rsid w:val="007A243F"/>
    <w:rsid w:val="008774EA"/>
    <w:rsid w:val="008806C0"/>
    <w:rsid w:val="008B6027"/>
    <w:rsid w:val="008C5332"/>
    <w:rsid w:val="009176EF"/>
    <w:rsid w:val="009550B1"/>
    <w:rsid w:val="00990F35"/>
    <w:rsid w:val="009B169A"/>
    <w:rsid w:val="009B3F7F"/>
    <w:rsid w:val="009C348F"/>
    <w:rsid w:val="009D198F"/>
    <w:rsid w:val="00A027BE"/>
    <w:rsid w:val="00A52E4A"/>
    <w:rsid w:val="00A778DC"/>
    <w:rsid w:val="00AB36DA"/>
    <w:rsid w:val="00AD7EB8"/>
    <w:rsid w:val="00AE546A"/>
    <w:rsid w:val="00B87AC1"/>
    <w:rsid w:val="00B94A0D"/>
    <w:rsid w:val="00BC094A"/>
    <w:rsid w:val="00BF1F0E"/>
    <w:rsid w:val="00C06DB3"/>
    <w:rsid w:val="00C161B9"/>
    <w:rsid w:val="00D16413"/>
    <w:rsid w:val="00DA4599"/>
    <w:rsid w:val="00E062E1"/>
    <w:rsid w:val="00E264D6"/>
    <w:rsid w:val="00E61DFA"/>
    <w:rsid w:val="00E81D97"/>
    <w:rsid w:val="00EA504A"/>
    <w:rsid w:val="00ED251D"/>
    <w:rsid w:val="00EE5A24"/>
    <w:rsid w:val="00EF1851"/>
    <w:rsid w:val="00F222AC"/>
    <w:rsid w:val="00F83C34"/>
    <w:rsid w:val="00FA0025"/>
    <w:rsid w:val="00FC31CD"/>
    <w:rsid w:val="00FD33A9"/>
    <w:rsid w:val="011219B3"/>
    <w:rsid w:val="011A7482"/>
    <w:rsid w:val="015C2298"/>
    <w:rsid w:val="01620560"/>
    <w:rsid w:val="01E004C6"/>
    <w:rsid w:val="029A46DD"/>
    <w:rsid w:val="02F933FD"/>
    <w:rsid w:val="035533E8"/>
    <w:rsid w:val="038D2453"/>
    <w:rsid w:val="03AE51E8"/>
    <w:rsid w:val="04C174AE"/>
    <w:rsid w:val="05804440"/>
    <w:rsid w:val="05C5101C"/>
    <w:rsid w:val="06E8125C"/>
    <w:rsid w:val="073623C8"/>
    <w:rsid w:val="07E71840"/>
    <w:rsid w:val="085D64B2"/>
    <w:rsid w:val="089A0224"/>
    <w:rsid w:val="08AD5DB3"/>
    <w:rsid w:val="08C1399D"/>
    <w:rsid w:val="095E6E57"/>
    <w:rsid w:val="09955218"/>
    <w:rsid w:val="0AB801F7"/>
    <w:rsid w:val="0AED7227"/>
    <w:rsid w:val="0B0F7EB2"/>
    <w:rsid w:val="0BFB4089"/>
    <w:rsid w:val="0C096DAE"/>
    <w:rsid w:val="0C8A419C"/>
    <w:rsid w:val="0CAA6D1F"/>
    <w:rsid w:val="0D667B3C"/>
    <w:rsid w:val="0D805ED6"/>
    <w:rsid w:val="0D84171B"/>
    <w:rsid w:val="0D97633C"/>
    <w:rsid w:val="0E182DAF"/>
    <w:rsid w:val="0E620178"/>
    <w:rsid w:val="0F086F70"/>
    <w:rsid w:val="0F2A2B55"/>
    <w:rsid w:val="0F767F4D"/>
    <w:rsid w:val="0FBC17E9"/>
    <w:rsid w:val="10001ADA"/>
    <w:rsid w:val="10061896"/>
    <w:rsid w:val="105C67E0"/>
    <w:rsid w:val="105E3690"/>
    <w:rsid w:val="11152755"/>
    <w:rsid w:val="1121579F"/>
    <w:rsid w:val="112B5D8B"/>
    <w:rsid w:val="11852D0D"/>
    <w:rsid w:val="120D01BE"/>
    <w:rsid w:val="127761F3"/>
    <w:rsid w:val="127F3986"/>
    <w:rsid w:val="1290089B"/>
    <w:rsid w:val="12B34683"/>
    <w:rsid w:val="13374143"/>
    <w:rsid w:val="134F0C8A"/>
    <w:rsid w:val="13F727D3"/>
    <w:rsid w:val="14616EC6"/>
    <w:rsid w:val="14FA0C7E"/>
    <w:rsid w:val="1687721E"/>
    <w:rsid w:val="17031DA4"/>
    <w:rsid w:val="17132F6D"/>
    <w:rsid w:val="17377943"/>
    <w:rsid w:val="173813A2"/>
    <w:rsid w:val="17EB7E41"/>
    <w:rsid w:val="181B006B"/>
    <w:rsid w:val="18324C3A"/>
    <w:rsid w:val="188C6429"/>
    <w:rsid w:val="189410F2"/>
    <w:rsid w:val="18B655FA"/>
    <w:rsid w:val="19262161"/>
    <w:rsid w:val="19410353"/>
    <w:rsid w:val="19520E3E"/>
    <w:rsid w:val="19586B0B"/>
    <w:rsid w:val="19EA54A0"/>
    <w:rsid w:val="1AA86A37"/>
    <w:rsid w:val="1AF47C60"/>
    <w:rsid w:val="1B346872"/>
    <w:rsid w:val="1B5A6C0B"/>
    <w:rsid w:val="1B6470BE"/>
    <w:rsid w:val="1BA1448A"/>
    <w:rsid w:val="1BDC42A6"/>
    <w:rsid w:val="1C950E20"/>
    <w:rsid w:val="1CA956BB"/>
    <w:rsid w:val="1D08530D"/>
    <w:rsid w:val="1D301A87"/>
    <w:rsid w:val="1DD609A6"/>
    <w:rsid w:val="1E065B24"/>
    <w:rsid w:val="1E38695E"/>
    <w:rsid w:val="1F012001"/>
    <w:rsid w:val="1F097843"/>
    <w:rsid w:val="1F9A5573"/>
    <w:rsid w:val="1FD76330"/>
    <w:rsid w:val="1FDC57FA"/>
    <w:rsid w:val="20141622"/>
    <w:rsid w:val="203D7CC4"/>
    <w:rsid w:val="20843FD0"/>
    <w:rsid w:val="20A53D1C"/>
    <w:rsid w:val="212C0FDD"/>
    <w:rsid w:val="21823258"/>
    <w:rsid w:val="218A0A30"/>
    <w:rsid w:val="221117EE"/>
    <w:rsid w:val="22A664E9"/>
    <w:rsid w:val="22B9181F"/>
    <w:rsid w:val="230B34C8"/>
    <w:rsid w:val="234F0B74"/>
    <w:rsid w:val="23A11DD1"/>
    <w:rsid w:val="23F61112"/>
    <w:rsid w:val="24DF62A2"/>
    <w:rsid w:val="2533416F"/>
    <w:rsid w:val="254B0326"/>
    <w:rsid w:val="255664FB"/>
    <w:rsid w:val="26025506"/>
    <w:rsid w:val="265031E9"/>
    <w:rsid w:val="26967B74"/>
    <w:rsid w:val="27877C77"/>
    <w:rsid w:val="27F7177D"/>
    <w:rsid w:val="28142096"/>
    <w:rsid w:val="282271F2"/>
    <w:rsid w:val="295419FE"/>
    <w:rsid w:val="296C73C6"/>
    <w:rsid w:val="2AC5487A"/>
    <w:rsid w:val="2B094A12"/>
    <w:rsid w:val="2B17010C"/>
    <w:rsid w:val="2B1701AC"/>
    <w:rsid w:val="2B216A60"/>
    <w:rsid w:val="2B8D78E9"/>
    <w:rsid w:val="2BBD39D9"/>
    <w:rsid w:val="2BFC4D9C"/>
    <w:rsid w:val="2C0D7467"/>
    <w:rsid w:val="2C954D93"/>
    <w:rsid w:val="2CAB220C"/>
    <w:rsid w:val="2CCA7A8A"/>
    <w:rsid w:val="2D784150"/>
    <w:rsid w:val="2DB67E0C"/>
    <w:rsid w:val="2DBC218C"/>
    <w:rsid w:val="2DE5418D"/>
    <w:rsid w:val="2DF820AA"/>
    <w:rsid w:val="2E4E0E74"/>
    <w:rsid w:val="2EAB6748"/>
    <w:rsid w:val="2EB620E2"/>
    <w:rsid w:val="2EC87E69"/>
    <w:rsid w:val="2ECD494F"/>
    <w:rsid w:val="2EDE70AD"/>
    <w:rsid w:val="2EE36E6A"/>
    <w:rsid w:val="2F117F85"/>
    <w:rsid w:val="2FE46D7A"/>
    <w:rsid w:val="30434DDC"/>
    <w:rsid w:val="30A3673A"/>
    <w:rsid w:val="30EA73B5"/>
    <w:rsid w:val="320205F1"/>
    <w:rsid w:val="32104668"/>
    <w:rsid w:val="325D04F1"/>
    <w:rsid w:val="327C4A4A"/>
    <w:rsid w:val="32EE6DF6"/>
    <w:rsid w:val="333E33B7"/>
    <w:rsid w:val="3374723A"/>
    <w:rsid w:val="33841C8D"/>
    <w:rsid w:val="33C0574A"/>
    <w:rsid w:val="33DC453D"/>
    <w:rsid w:val="33E267AD"/>
    <w:rsid w:val="341E7EBA"/>
    <w:rsid w:val="3465188B"/>
    <w:rsid w:val="351C245C"/>
    <w:rsid w:val="352C5428"/>
    <w:rsid w:val="366B0F3E"/>
    <w:rsid w:val="36A87D4B"/>
    <w:rsid w:val="37152EC4"/>
    <w:rsid w:val="37250F3A"/>
    <w:rsid w:val="377E2B16"/>
    <w:rsid w:val="37CE2368"/>
    <w:rsid w:val="37D0390A"/>
    <w:rsid w:val="37DD1734"/>
    <w:rsid w:val="38B46A17"/>
    <w:rsid w:val="39453653"/>
    <w:rsid w:val="39770DE4"/>
    <w:rsid w:val="3A500120"/>
    <w:rsid w:val="3A9D00C4"/>
    <w:rsid w:val="3AB35706"/>
    <w:rsid w:val="3B3D5900"/>
    <w:rsid w:val="3B6B02A0"/>
    <w:rsid w:val="3C2B0A6D"/>
    <w:rsid w:val="3C8A1274"/>
    <w:rsid w:val="3CFA14E9"/>
    <w:rsid w:val="3CFD6786"/>
    <w:rsid w:val="3D4C1EB6"/>
    <w:rsid w:val="3DE23C36"/>
    <w:rsid w:val="3DF2027F"/>
    <w:rsid w:val="3E020676"/>
    <w:rsid w:val="3E0A1BE2"/>
    <w:rsid w:val="3E7D0097"/>
    <w:rsid w:val="3EA1500E"/>
    <w:rsid w:val="3FA64A3C"/>
    <w:rsid w:val="3FCD3F24"/>
    <w:rsid w:val="406953F7"/>
    <w:rsid w:val="40913A33"/>
    <w:rsid w:val="40E10DA1"/>
    <w:rsid w:val="40FD1690"/>
    <w:rsid w:val="41656046"/>
    <w:rsid w:val="41E66FD1"/>
    <w:rsid w:val="41EE3B1D"/>
    <w:rsid w:val="422A0FBD"/>
    <w:rsid w:val="42B60E61"/>
    <w:rsid w:val="42DA0C12"/>
    <w:rsid w:val="430D2FC8"/>
    <w:rsid w:val="43E04238"/>
    <w:rsid w:val="4589329D"/>
    <w:rsid w:val="45A64E9D"/>
    <w:rsid w:val="45A728C1"/>
    <w:rsid w:val="45B94704"/>
    <w:rsid w:val="46F60C51"/>
    <w:rsid w:val="470A6D83"/>
    <w:rsid w:val="47E81B58"/>
    <w:rsid w:val="480233DF"/>
    <w:rsid w:val="482E24AE"/>
    <w:rsid w:val="48431461"/>
    <w:rsid w:val="48E43ED4"/>
    <w:rsid w:val="48FC7BF1"/>
    <w:rsid w:val="4A2F6BF1"/>
    <w:rsid w:val="4A8F062B"/>
    <w:rsid w:val="4B0B24EB"/>
    <w:rsid w:val="4B221D06"/>
    <w:rsid w:val="4B2C550D"/>
    <w:rsid w:val="4B624492"/>
    <w:rsid w:val="4BC11F32"/>
    <w:rsid w:val="4C780B57"/>
    <w:rsid w:val="4C8833D4"/>
    <w:rsid w:val="4CEE0363"/>
    <w:rsid w:val="4D665F41"/>
    <w:rsid w:val="4DB37F5D"/>
    <w:rsid w:val="4E2174A0"/>
    <w:rsid w:val="4E23120E"/>
    <w:rsid w:val="4E5813AE"/>
    <w:rsid w:val="4E811CD4"/>
    <w:rsid w:val="4EFC20F9"/>
    <w:rsid w:val="4F2F4B17"/>
    <w:rsid w:val="4F556AFB"/>
    <w:rsid w:val="4F641BC8"/>
    <w:rsid w:val="50446E9E"/>
    <w:rsid w:val="50633CFE"/>
    <w:rsid w:val="50C55FB5"/>
    <w:rsid w:val="527B5412"/>
    <w:rsid w:val="531D5258"/>
    <w:rsid w:val="53711C8C"/>
    <w:rsid w:val="53A54193"/>
    <w:rsid w:val="550559A0"/>
    <w:rsid w:val="552410A0"/>
    <w:rsid w:val="554D50CC"/>
    <w:rsid w:val="55FA7919"/>
    <w:rsid w:val="56A16488"/>
    <w:rsid w:val="56AC23F2"/>
    <w:rsid w:val="56FE5DA0"/>
    <w:rsid w:val="57143637"/>
    <w:rsid w:val="5723598D"/>
    <w:rsid w:val="57B9792F"/>
    <w:rsid w:val="57DC30FA"/>
    <w:rsid w:val="585B46DE"/>
    <w:rsid w:val="588D48E8"/>
    <w:rsid w:val="592D3358"/>
    <w:rsid w:val="59BB3FF2"/>
    <w:rsid w:val="5A052899"/>
    <w:rsid w:val="5A697EF4"/>
    <w:rsid w:val="5BC71E94"/>
    <w:rsid w:val="5BE50428"/>
    <w:rsid w:val="5C8E6758"/>
    <w:rsid w:val="5CD042C9"/>
    <w:rsid w:val="5CEC387D"/>
    <w:rsid w:val="5CF73BF4"/>
    <w:rsid w:val="5D9C5FEA"/>
    <w:rsid w:val="5EA735A9"/>
    <w:rsid w:val="5EE961F7"/>
    <w:rsid w:val="5F86339F"/>
    <w:rsid w:val="5F9349F6"/>
    <w:rsid w:val="5FAE3621"/>
    <w:rsid w:val="602463F8"/>
    <w:rsid w:val="60CC626F"/>
    <w:rsid w:val="61640046"/>
    <w:rsid w:val="61991249"/>
    <w:rsid w:val="61C2040D"/>
    <w:rsid w:val="62400421"/>
    <w:rsid w:val="62A21408"/>
    <w:rsid w:val="631F3EC9"/>
    <w:rsid w:val="635D7EDD"/>
    <w:rsid w:val="63606858"/>
    <w:rsid w:val="63762E5C"/>
    <w:rsid w:val="63D96262"/>
    <w:rsid w:val="63DA2467"/>
    <w:rsid w:val="6408500B"/>
    <w:rsid w:val="640D7C38"/>
    <w:rsid w:val="644369EA"/>
    <w:rsid w:val="64482CBB"/>
    <w:rsid w:val="64D45FD2"/>
    <w:rsid w:val="65191889"/>
    <w:rsid w:val="652C3E1B"/>
    <w:rsid w:val="661753F8"/>
    <w:rsid w:val="66260B95"/>
    <w:rsid w:val="668A1CB3"/>
    <w:rsid w:val="6749065D"/>
    <w:rsid w:val="67A976E6"/>
    <w:rsid w:val="688A7796"/>
    <w:rsid w:val="68C81D63"/>
    <w:rsid w:val="6A4960F7"/>
    <w:rsid w:val="6A7B3FE3"/>
    <w:rsid w:val="6A8E4A33"/>
    <w:rsid w:val="6B031F2F"/>
    <w:rsid w:val="6B8A6F64"/>
    <w:rsid w:val="6BA60BF7"/>
    <w:rsid w:val="6C727D90"/>
    <w:rsid w:val="6C8B3077"/>
    <w:rsid w:val="6CAB57B6"/>
    <w:rsid w:val="6D1B7804"/>
    <w:rsid w:val="6DA27CF6"/>
    <w:rsid w:val="6E067299"/>
    <w:rsid w:val="6E576392"/>
    <w:rsid w:val="6E6A0A44"/>
    <w:rsid w:val="6EEA52B3"/>
    <w:rsid w:val="6F384917"/>
    <w:rsid w:val="6FAC3E6D"/>
    <w:rsid w:val="6FB200B5"/>
    <w:rsid w:val="6FD3107B"/>
    <w:rsid w:val="70644C56"/>
    <w:rsid w:val="70B30F1A"/>
    <w:rsid w:val="70C819FA"/>
    <w:rsid w:val="712250A7"/>
    <w:rsid w:val="71316582"/>
    <w:rsid w:val="721927D5"/>
    <w:rsid w:val="731B2197"/>
    <w:rsid w:val="73306D61"/>
    <w:rsid w:val="73DE7E12"/>
    <w:rsid w:val="744826C1"/>
    <w:rsid w:val="746E461A"/>
    <w:rsid w:val="74733FCA"/>
    <w:rsid w:val="74EF1506"/>
    <w:rsid w:val="75681A89"/>
    <w:rsid w:val="757D6904"/>
    <w:rsid w:val="75BE12CB"/>
    <w:rsid w:val="76222AAE"/>
    <w:rsid w:val="765E22A5"/>
    <w:rsid w:val="76E34135"/>
    <w:rsid w:val="77DB31D9"/>
    <w:rsid w:val="783B145B"/>
    <w:rsid w:val="790811B4"/>
    <w:rsid w:val="791E77A7"/>
    <w:rsid w:val="79253987"/>
    <w:rsid w:val="794B0AD0"/>
    <w:rsid w:val="79921C80"/>
    <w:rsid w:val="79D96BB2"/>
    <w:rsid w:val="7A9E6716"/>
    <w:rsid w:val="7AB17FBA"/>
    <w:rsid w:val="7B110D7F"/>
    <w:rsid w:val="7B417618"/>
    <w:rsid w:val="7B585BCC"/>
    <w:rsid w:val="7BCF7F28"/>
    <w:rsid w:val="7C486E1D"/>
    <w:rsid w:val="7C8D530C"/>
    <w:rsid w:val="7C8F32A0"/>
    <w:rsid w:val="7C902164"/>
    <w:rsid w:val="7CB771FE"/>
    <w:rsid w:val="7CD6112F"/>
    <w:rsid w:val="7D026E32"/>
    <w:rsid w:val="7EAE423B"/>
    <w:rsid w:val="7F46634B"/>
    <w:rsid w:val="7FAF0D36"/>
    <w:rsid w:val="7FD347DA"/>
    <w:rsid w:val="7FF764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7">
    <w:name w:val="List Paragraph"/>
    <w:basedOn w:val="1"/>
    <w:unhideWhenUsed/>
    <w:qFormat/>
    <w:uiPriority w:val="99"/>
    <w:pPr>
      <w:ind w:firstLine="420" w:firstLineChars="200"/>
    </w:pPr>
  </w:style>
  <w:style w:type="paragraph" w:customStyle="1" w:styleId="8">
    <w:name w:val="正文文本1"/>
    <w:basedOn w:val="1"/>
    <w:qFormat/>
    <w:uiPriority w:val="0"/>
    <w:pPr>
      <w:shd w:val="clear" w:color="auto" w:fill="FFFFFF"/>
      <w:spacing w:line="408" w:lineRule="auto"/>
      <w:ind w:firstLine="400"/>
      <w:jc w:val="left"/>
    </w:pPr>
    <w:rPr>
      <w:rFonts w:ascii="MingLiU" w:hAnsi="MingLiU" w:eastAsia="MingLiU" w:cs="宋体"/>
      <w:color w:val="000000"/>
      <w:kern w:val="0"/>
      <w:sz w:val="30"/>
      <w:szCs w:val="30"/>
    </w:rPr>
  </w:style>
  <w:style w:type="paragraph" w:customStyle="1" w:styleId="9">
    <w:name w:val="正文文本 (2)"/>
    <w:basedOn w:val="1"/>
    <w:qFormat/>
    <w:uiPriority w:val="0"/>
    <w:pPr>
      <w:shd w:val="clear" w:color="auto" w:fill="FFFFFF"/>
      <w:ind w:left="7800"/>
      <w:jc w:val="left"/>
    </w:pPr>
    <w:rPr>
      <w:rFonts w:ascii="Arial" w:hAnsi="Arial" w:eastAsia="宋体" w:cs="Arial"/>
      <w:i/>
      <w:iCs/>
      <w:color w:val="000000"/>
      <w:kern w:val="0"/>
      <w:sz w:val="8"/>
      <w:szCs w:val="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569</Words>
  <Characters>3247</Characters>
  <Lines>27</Lines>
  <Paragraphs>7</Paragraphs>
  <TotalTime>2</TotalTime>
  <ScaleCrop>false</ScaleCrop>
  <LinksUpToDate>false</LinksUpToDate>
  <CharactersWithSpaces>3809</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2021-09-30T00:17:00Z</dcterms:created>
  <dc:creator>付君雄</dc:creator>
  <cp:lastModifiedBy>建筑工程规划科文件管理员</cp:lastModifiedBy>
  <cp:lastPrinted>2021-09-30T03:05:59Z</cp:lastPrinted>
  <dcterms:modified xsi:type="dcterms:W3CDTF">2021-09-30T03:06:14Z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771BC90A905F4D34BACAD310939D1AB3</vt:lpwstr>
  </property>
</Properties>
</file>