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Times New Roman" w:hAnsi="Times New Roman" w:cs="Times New Roman"/>
          <w:szCs w:val="32"/>
        </w:rPr>
      </w:pPr>
      <w:bookmarkStart w:id="0" w:name="_GoBack"/>
      <w:bookmarkEnd w:id="0"/>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担保函</w:t>
      </w:r>
    </w:p>
    <w:p>
      <w:pPr>
        <w:spacing w:line="580" w:lineRule="exact"/>
        <w:jc w:val="center"/>
        <w:rPr>
          <w:rFonts w:ascii="楷体_GB2312" w:hAnsi="楷体_GB2312" w:eastAsia="楷体_GB2312" w:cs="楷体_GB2312"/>
          <w:szCs w:val="32"/>
        </w:rPr>
      </w:pPr>
      <w:r>
        <w:rPr>
          <w:rFonts w:hint="eastAsia" w:ascii="楷体_GB2312" w:hAnsi="楷体_GB2312" w:eastAsia="楷体_GB2312" w:cs="楷体_GB2312"/>
          <w:szCs w:val="32"/>
        </w:rPr>
        <w:t>（样式）</w:t>
      </w:r>
    </w:p>
    <w:p>
      <w:pPr>
        <w:spacing w:line="580" w:lineRule="exact"/>
        <w:rPr>
          <w:szCs w:val="32"/>
        </w:rPr>
      </w:pPr>
    </w:p>
    <w:p>
      <w:pPr>
        <w:spacing w:line="580" w:lineRule="exact"/>
        <w:rPr>
          <w:szCs w:val="32"/>
        </w:rPr>
      </w:pPr>
      <w:r>
        <w:rPr>
          <w:rFonts w:hint="eastAsia"/>
          <w:szCs w:val="32"/>
        </w:rPr>
        <w:t>我行编号：</w:t>
      </w:r>
    </w:p>
    <w:p>
      <w:pPr>
        <w:spacing w:line="580" w:lineRule="exact"/>
        <w:rPr>
          <w:szCs w:val="32"/>
        </w:rPr>
      </w:pPr>
      <w:r>
        <w:rPr>
          <w:rFonts w:hint="eastAsia"/>
          <w:szCs w:val="32"/>
        </w:rPr>
        <w:t>开立日期：</w:t>
      </w:r>
    </w:p>
    <w:p>
      <w:pPr>
        <w:spacing w:line="580" w:lineRule="exact"/>
        <w:rPr>
          <w:szCs w:val="32"/>
        </w:rPr>
      </w:pPr>
      <w:r>
        <w:rPr>
          <w:rFonts w:hint="eastAsia"/>
          <w:szCs w:val="32"/>
        </w:rPr>
        <w:t>致：贵港市自然资源局（以下称“受益人”）</w:t>
      </w:r>
    </w:p>
    <w:p>
      <w:pPr>
        <w:spacing w:line="580" w:lineRule="exact"/>
        <w:rPr>
          <w:szCs w:val="32"/>
        </w:rPr>
      </w:pPr>
      <w:r>
        <w:rPr>
          <w:rFonts w:hint="eastAsia"/>
          <w:szCs w:val="32"/>
        </w:rPr>
        <w:t>地址：贵港市港北区荷城路</w:t>
      </w:r>
      <w:r>
        <w:rPr>
          <w:rFonts w:ascii="Times New Roman" w:hAnsi="Times New Roman" w:cs="Times New Roman"/>
          <w:szCs w:val="32"/>
        </w:rPr>
        <w:t>1032</w:t>
      </w:r>
      <w:r>
        <w:rPr>
          <w:rFonts w:hint="eastAsia"/>
          <w:szCs w:val="32"/>
        </w:rPr>
        <w:t>号</w:t>
      </w:r>
    </w:p>
    <w:p>
      <w:pPr>
        <w:spacing w:line="580" w:lineRule="exact"/>
        <w:ind w:firstLine="630" w:firstLineChars="200"/>
        <w:rPr>
          <w:szCs w:val="32"/>
        </w:rPr>
      </w:pPr>
      <w:r>
        <w:rPr>
          <w:rFonts w:hint="eastAsia"/>
          <w:szCs w:val="32"/>
        </w:rPr>
        <w:t>鉴</w:t>
      </w:r>
      <w:r>
        <w:rPr>
          <w:rFonts w:ascii="Times New Roman" w:hAnsi="Times New Roman" w:cs="Times New Roman"/>
          <w:szCs w:val="32"/>
        </w:rPr>
        <w:t>于//</w:t>
      </w:r>
      <w:r>
        <w:rPr>
          <w:rFonts w:hint="eastAsia"/>
          <w:szCs w:val="32"/>
        </w:rPr>
        <w:t>（公司名称），地址</w:t>
      </w:r>
      <w:r>
        <w:rPr>
          <w:rFonts w:ascii="Times New Roman" w:hAnsi="Times New Roman" w:cs="Times New Roman"/>
          <w:szCs w:val="32"/>
        </w:rPr>
        <w:t>：//</w:t>
      </w:r>
      <w:r>
        <w:rPr>
          <w:rFonts w:hint="eastAsia"/>
          <w:szCs w:val="32"/>
        </w:rPr>
        <w:t>（以下称“申请人”）将参加</w:t>
      </w:r>
      <w:r>
        <w:rPr>
          <w:rFonts w:hint="eastAsia" w:cs="仿宋_GB2312"/>
          <w:szCs w:val="32"/>
        </w:rPr>
        <w:t>广西贵港市港南区木梓镇石牛岭建筑用玄武岩矿</w:t>
      </w:r>
      <w:r>
        <w:rPr>
          <w:rFonts w:hint="eastAsia"/>
          <w:szCs w:val="32"/>
        </w:rPr>
        <w:t>采矿权挂牌出让活动（挂牌编号：           ），并保证如竞得该采矿权将作为受让人按出让文件要求与受益人签订</w:t>
      </w:r>
      <w:r>
        <w:rPr>
          <w:rFonts w:hint="eastAsia" w:cs="仿宋_GB2312"/>
          <w:spacing w:val="-17"/>
          <w:szCs w:val="32"/>
        </w:rPr>
        <w:t>《采矿权出让成交确认书》</w:t>
      </w:r>
      <w:r>
        <w:rPr>
          <w:rFonts w:hint="eastAsia"/>
          <w:szCs w:val="32"/>
        </w:rPr>
        <w:t>及《采矿权出让合同》（以下统称“合同”）、按出让公告及合同约定履行受让人的全部责任、按要求足额缴纳成交出让收益。</w:t>
      </w:r>
      <w:r>
        <w:rPr>
          <w:rFonts w:ascii="Times New Roman" w:hAnsi="Times New Roman" w:cs="Times New Roman"/>
          <w:szCs w:val="32"/>
        </w:rPr>
        <w:t>XX</w:t>
      </w:r>
      <w:r>
        <w:rPr>
          <w:rFonts w:hint="eastAsia"/>
          <w:szCs w:val="32"/>
        </w:rPr>
        <w:t>银行广西分行（以下称“我行”）就申请人参与</w:t>
      </w:r>
      <w:r>
        <w:rPr>
          <w:rFonts w:hint="eastAsia" w:cs="仿宋_GB2312"/>
          <w:szCs w:val="32"/>
        </w:rPr>
        <w:t>广西贵港市港南区木梓镇石牛岭建筑用玄武岩矿</w:t>
      </w:r>
      <w:r>
        <w:rPr>
          <w:rFonts w:hint="eastAsia"/>
          <w:szCs w:val="32"/>
        </w:rPr>
        <w:t>采矿权挂牌出让活动并作为竞得人将履行出让文件、合同规定的义务，愿意无条件向受益人提供见索即付担保，担保金额为人民币</w:t>
      </w:r>
      <w:r>
        <w:rPr>
          <w:rFonts w:ascii="Times New Roman" w:hAnsi="Times New Roman" w:cs="Times New Roman"/>
          <w:szCs w:val="32"/>
        </w:rPr>
        <w:t>//（CNY//</w:t>
      </w:r>
      <w:r>
        <w:rPr>
          <w:rFonts w:hint="eastAsia"/>
          <w:szCs w:val="32"/>
        </w:rPr>
        <w:t>）。</w:t>
      </w:r>
    </w:p>
    <w:p>
      <w:pPr>
        <w:spacing w:line="580" w:lineRule="exact"/>
        <w:ind w:firstLine="630" w:firstLineChars="200"/>
        <w:rPr>
          <w:szCs w:val="32"/>
        </w:rPr>
      </w:pPr>
      <w:r>
        <w:rPr>
          <w:rFonts w:hint="eastAsia"/>
          <w:szCs w:val="32"/>
        </w:rPr>
        <w:t>我行，作为开立人，在此郑重承诺（含不可撤销）：在收到受益人提交的申明发生下列任何一种情况的书面付款通知纸质原件后7个工作日内，凭本保函正本原件，向受益人支付累计总额不超过上述担保金额的款项，受益人的书面付款通知纸质原件须列明保函项下需支付的金额和收款的银行及账号：</w:t>
      </w:r>
    </w:p>
    <w:p>
      <w:pPr>
        <w:pStyle w:val="5"/>
        <w:widowControl/>
        <w:spacing w:line="580" w:lineRule="exact"/>
        <w:ind w:firstLine="630" w:firstLineChars="200"/>
        <w:rPr>
          <w:rFonts w:cs="仿宋_GB2312"/>
          <w:sz w:val="32"/>
          <w:szCs w:val="32"/>
        </w:rPr>
      </w:pPr>
      <w:r>
        <w:rPr>
          <w:rFonts w:ascii="Times New Roman" w:hAnsi="Times New Roman"/>
          <w:sz w:val="32"/>
          <w:szCs w:val="32"/>
        </w:rPr>
        <w:t>1.</w:t>
      </w:r>
      <w:r>
        <w:rPr>
          <w:rFonts w:hint="eastAsia" w:cs="仿宋_GB2312"/>
          <w:sz w:val="32"/>
          <w:szCs w:val="32"/>
        </w:rPr>
        <w:t>提交虚假材料的；</w:t>
      </w:r>
    </w:p>
    <w:p>
      <w:pPr>
        <w:pStyle w:val="5"/>
        <w:widowControl/>
        <w:spacing w:line="580" w:lineRule="exact"/>
        <w:ind w:firstLine="630" w:firstLineChars="200"/>
        <w:rPr>
          <w:rFonts w:cs="仿宋_GB2312"/>
          <w:sz w:val="32"/>
          <w:szCs w:val="32"/>
        </w:rPr>
      </w:pPr>
      <w:r>
        <w:rPr>
          <w:rFonts w:ascii="Times New Roman" w:hAnsi="Times New Roman"/>
          <w:sz w:val="32"/>
          <w:szCs w:val="32"/>
        </w:rPr>
        <w:t>2.</w:t>
      </w:r>
      <w:r>
        <w:rPr>
          <w:rFonts w:hint="eastAsia" w:cs="仿宋_GB2312"/>
          <w:sz w:val="32"/>
          <w:szCs w:val="32"/>
        </w:rPr>
        <w:t>在采矿权挂牌出让公告规定的竞买有效期内撤回报价的；</w:t>
      </w:r>
    </w:p>
    <w:p>
      <w:pPr>
        <w:pStyle w:val="5"/>
        <w:widowControl/>
        <w:spacing w:line="580" w:lineRule="exact"/>
        <w:ind w:firstLine="630" w:firstLineChars="200"/>
        <w:rPr>
          <w:rFonts w:cs="仿宋_GB2312"/>
          <w:spacing w:val="-17"/>
          <w:sz w:val="32"/>
          <w:szCs w:val="32"/>
        </w:rPr>
      </w:pPr>
      <w:r>
        <w:rPr>
          <w:rFonts w:ascii="Times New Roman" w:hAnsi="Times New Roman"/>
          <w:sz w:val="32"/>
          <w:szCs w:val="32"/>
        </w:rPr>
        <w:t>3.</w:t>
      </w:r>
      <w:r>
        <w:rPr>
          <w:rFonts w:hint="eastAsia" w:cs="仿宋_GB2312"/>
          <w:sz w:val="32"/>
          <w:szCs w:val="32"/>
        </w:rPr>
        <w:t>被确认为竞得人后，未按该采矿权挂牌出让公告等文件要</w:t>
      </w:r>
      <w:r>
        <w:rPr>
          <w:rFonts w:hint="eastAsia" w:cs="仿宋_GB2312"/>
          <w:spacing w:val="-17"/>
          <w:sz w:val="32"/>
          <w:szCs w:val="32"/>
        </w:rPr>
        <w:t>求的时限签订《采矿权出让成交确认书》及《采矿权出让合同》的；</w:t>
      </w:r>
    </w:p>
    <w:p>
      <w:pPr>
        <w:pStyle w:val="5"/>
        <w:widowControl/>
        <w:spacing w:line="580" w:lineRule="exact"/>
        <w:ind w:firstLine="630" w:firstLineChars="200"/>
        <w:rPr>
          <w:rFonts w:cs="仿宋_GB2312"/>
          <w:sz w:val="32"/>
          <w:szCs w:val="32"/>
        </w:rPr>
      </w:pPr>
      <w:r>
        <w:rPr>
          <w:rFonts w:ascii="Times New Roman" w:hAnsi="Times New Roman"/>
          <w:sz w:val="32"/>
          <w:szCs w:val="32"/>
        </w:rPr>
        <w:t>4.</w:t>
      </w:r>
      <w:r>
        <w:rPr>
          <w:rFonts w:hint="eastAsia" w:cs="仿宋_GB2312"/>
          <w:sz w:val="32"/>
          <w:szCs w:val="32"/>
        </w:rPr>
        <w:t>签订《采矿权出让合同》后，未按合同约定的时限及方式缴纳出让收益等各项费用的；</w:t>
      </w:r>
    </w:p>
    <w:p>
      <w:pPr>
        <w:spacing w:line="580" w:lineRule="exact"/>
        <w:ind w:firstLine="630" w:firstLineChars="200"/>
        <w:rPr>
          <w:rFonts w:cs="仿宋_GB2312"/>
          <w:szCs w:val="32"/>
        </w:rPr>
      </w:pPr>
      <w:r>
        <w:rPr>
          <w:rFonts w:ascii="Times New Roman" w:hAnsi="Times New Roman" w:cs="Times New Roman"/>
          <w:szCs w:val="32"/>
        </w:rPr>
        <w:t>5.</w:t>
      </w:r>
      <w:r>
        <w:rPr>
          <w:rFonts w:hint="eastAsia" w:cs="仿宋_GB2312"/>
          <w:szCs w:val="32"/>
        </w:rPr>
        <w:t>在采矿权竞买活动和合同签订过程中存在其他违反出让公告、双方约定和相关法律法规行为的。</w:t>
      </w:r>
    </w:p>
    <w:p>
      <w:pPr>
        <w:spacing w:line="580" w:lineRule="exact"/>
        <w:ind w:firstLine="630" w:firstLineChars="200"/>
        <w:rPr>
          <w:szCs w:val="32"/>
        </w:rPr>
      </w:pPr>
      <w:r>
        <w:rPr>
          <w:rFonts w:hint="eastAsia"/>
          <w:szCs w:val="32"/>
        </w:rPr>
        <w:t>本保函自</w:t>
      </w:r>
      <w:r>
        <w:rPr>
          <w:rFonts w:ascii="Times New Roman" w:hAnsi="Times New Roman" w:cs="Times New Roman"/>
          <w:szCs w:val="32"/>
        </w:rPr>
        <w:t>2022</w:t>
      </w:r>
      <w:r>
        <w:rPr>
          <w:rFonts w:hint="eastAsia"/>
          <w:szCs w:val="32"/>
        </w:rPr>
        <w:t>年7月19日起至</w:t>
      </w:r>
      <w:r>
        <w:rPr>
          <w:rFonts w:ascii="Times New Roman" w:hAnsi="Times New Roman" w:cs="Times New Roman"/>
          <w:szCs w:val="32"/>
        </w:rPr>
        <w:t>2022</w:t>
      </w:r>
      <w:r>
        <w:rPr>
          <w:rFonts w:hint="eastAsia" w:hAnsi="宋体" w:cs="宋体"/>
          <w:szCs w:val="32"/>
        </w:rPr>
        <w:t>年</w:t>
      </w:r>
      <w:r>
        <w:rPr>
          <w:rFonts w:hint="eastAsia" w:hAnsi="宋体" w:cs="宋体"/>
          <w:szCs w:val="32"/>
          <w:u w:val="single"/>
        </w:rPr>
        <w:t xml:space="preserve">  </w:t>
      </w:r>
      <w:r>
        <w:rPr>
          <w:rFonts w:hint="eastAsia" w:hAnsi="宋体" w:cs="宋体"/>
          <w:szCs w:val="32"/>
        </w:rPr>
        <w:t>月</w:t>
      </w:r>
      <w:r>
        <w:rPr>
          <w:rFonts w:hint="eastAsia" w:hAnsi="宋体" w:cs="宋体"/>
          <w:szCs w:val="32"/>
          <w:u w:val="single"/>
        </w:rPr>
        <w:t xml:space="preserve">  </w:t>
      </w:r>
      <w:r>
        <w:rPr>
          <w:rFonts w:hint="eastAsia" w:hAnsi="宋体" w:cs="宋体"/>
          <w:szCs w:val="32"/>
        </w:rPr>
        <w:t>日止（以下简称“有效期”）</w:t>
      </w:r>
      <w:r>
        <w:rPr>
          <w:rFonts w:hint="eastAsia"/>
          <w:szCs w:val="32"/>
        </w:rPr>
        <w:t>。本保函项下的任何索赔单据，必须于有效期内我行营业时间结束前送达我行以下地址：</w:t>
      </w:r>
      <w:r>
        <w:rPr>
          <w:rFonts w:ascii="Times New Roman" w:hAnsi="Times New Roman" w:cs="Times New Roman"/>
          <w:szCs w:val="32"/>
        </w:rPr>
        <w:t>//</w:t>
      </w:r>
      <w:r>
        <w:rPr>
          <w:rFonts w:hint="eastAsia"/>
          <w:szCs w:val="32"/>
        </w:rPr>
        <w:t>。</w:t>
      </w:r>
    </w:p>
    <w:p>
      <w:pPr>
        <w:spacing w:line="580" w:lineRule="exact"/>
        <w:ind w:firstLine="630" w:firstLineChars="200"/>
        <w:rPr>
          <w:szCs w:val="32"/>
        </w:rPr>
      </w:pPr>
      <w:r>
        <w:rPr>
          <w:rFonts w:hint="eastAsia"/>
          <w:szCs w:val="32"/>
        </w:rPr>
        <w:t>我行保函有效期届满即告失效,我行不对任何有效期届满后递交至我行的索赔承担责任。</w:t>
      </w:r>
    </w:p>
    <w:p>
      <w:pPr>
        <w:spacing w:line="580" w:lineRule="exact"/>
        <w:ind w:firstLine="650" w:firstLineChars="200"/>
        <w:rPr>
          <w:spacing w:val="-6"/>
          <w:szCs w:val="32"/>
        </w:rPr>
      </w:pPr>
      <w:r>
        <w:rPr>
          <w:rFonts w:hint="eastAsia"/>
          <w:spacing w:val="-6"/>
          <w:szCs w:val="32"/>
        </w:rPr>
        <w:t>本保函不可转让，我行对除受益人之外任何第三人不承担责任。</w:t>
      </w:r>
    </w:p>
    <w:p>
      <w:pPr>
        <w:spacing w:line="580" w:lineRule="exact"/>
        <w:ind w:firstLine="630" w:firstLineChars="200"/>
        <w:rPr>
          <w:szCs w:val="32"/>
        </w:rPr>
      </w:pPr>
      <w:r>
        <w:rPr>
          <w:rFonts w:hint="eastAsia"/>
          <w:szCs w:val="32"/>
        </w:rPr>
        <w:t>本保函适用国际商会第</w:t>
      </w:r>
      <w:r>
        <w:rPr>
          <w:rFonts w:ascii="Times New Roman" w:hAnsi="Times New Roman" w:cs="Times New Roman"/>
          <w:szCs w:val="32"/>
        </w:rPr>
        <w:t>758</w:t>
      </w:r>
      <w:r>
        <w:rPr>
          <w:rFonts w:hint="eastAsia"/>
          <w:szCs w:val="32"/>
        </w:rPr>
        <w:t>号出版物《见索即付保函统一规则</w:t>
      </w:r>
      <w:r>
        <w:rPr>
          <w:rFonts w:ascii="Times New Roman" w:hAnsi="Times New Roman" w:cs="Times New Roman"/>
          <w:szCs w:val="32"/>
        </w:rPr>
        <w:t>》URDG758（2010</w:t>
      </w:r>
      <w:r>
        <w:rPr>
          <w:rFonts w:hint="eastAsia"/>
          <w:szCs w:val="32"/>
        </w:rPr>
        <w:t>年修订版）。</w:t>
      </w:r>
    </w:p>
    <w:sectPr>
      <w:headerReference r:id="rId3" w:type="default"/>
      <w:footerReference r:id="rId5" w:type="default"/>
      <w:headerReference r:id="rId4" w:type="even"/>
      <w:footerReference r:id="rId6" w:type="even"/>
      <w:pgSz w:w="11906" w:h="16838"/>
      <w:pgMar w:top="1871" w:right="1474" w:bottom="1871" w:left="1587" w:header="851" w:footer="1871" w:gutter="0"/>
      <w:cols w:space="0" w:num="1"/>
      <w:docGrid w:type="linesAndChars" w:linePitch="595" w:charSpace="3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embedRegular r:id="rId1" w:fontKey="{15159F72-CAD8-4631-8869-684E9FC3292E}"/>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B5BA19E1-BD3C-4CFD-93A8-EB785B194DE9}"/>
  </w:font>
  <w:font w:name="楷体_GB2312">
    <w:altName w:val="楷体"/>
    <w:panose1 w:val="02010609030101010101"/>
    <w:charset w:val="86"/>
    <w:family w:val="modern"/>
    <w:pitch w:val="default"/>
    <w:sig w:usb0="00000000" w:usb1="00000000" w:usb2="00000010" w:usb3="00000000" w:csb0="00040000" w:csb1="00000000"/>
    <w:embedRegular r:id="rId3" w:fontKey="{8DE85910-F92E-4960-A5E0-F28FF533400A}"/>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left:375.4pt;margin-top:2.55pt;height:144pt;width:144p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ind w:right="447" w:rightChars="150"/>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fldChar w:fldCharType="begin"/>
                </w:r>
                <w:r>
                  <w:rPr>
                    <w:rFonts w:ascii="Times New Roman" w:hAnsi="Times New Roman" w:cs="Times New Roman" w:eastAsiaTheme="minorEastAsia"/>
                    <w:sz w:val="28"/>
                    <w:szCs w:val="28"/>
                  </w:rPr>
                  <w:instrText xml:space="preserve"> PAGE  \* MERGEFORMAT </w:instrText>
                </w:r>
                <w:r>
                  <w:rPr>
                    <w:rFonts w:ascii="Times New Roman" w:hAnsi="Times New Roman" w:cs="Times New Roman" w:eastAsiaTheme="minorEastAsia"/>
                    <w:sz w:val="28"/>
                    <w:szCs w:val="28"/>
                  </w:rPr>
                  <w:fldChar w:fldCharType="separate"/>
                </w:r>
                <w:r>
                  <w:rPr>
                    <w:rFonts w:ascii="Times New Roman" w:hAnsi="Times New Roman" w:cs="Times New Roman" w:eastAsiaTheme="minorEastAsia"/>
                    <w:sz w:val="28"/>
                    <w:szCs w:val="28"/>
                  </w:rPr>
                  <w:t>1</w:t>
                </w:r>
                <w:r>
                  <w:rPr>
                    <w:rFonts w:ascii="Times New Roman" w:hAnsi="Times New Roman" w:cs="Times New Roman" w:eastAsiaTheme="minorEastAsia"/>
                    <w:sz w:val="28"/>
                    <w:szCs w:val="28"/>
                  </w:rPr>
                  <w:fldChar w:fldCharType="end"/>
                </w:r>
                <w:r>
                  <w:rPr>
                    <w:rFonts w:hint="eastAsia" w:ascii="Times New Roman" w:hAnsi="Times New Roman" w:cs="Times New Roman" w:eastAsiaTheme="minorEastAsia"/>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8" o:spid="_x0000_s4098" o:spt="202" type="#_x0000_t202" style="position:absolute;left:0pt;margin-left:-0.2pt;margin-top:3.1pt;height:144pt;width:144p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ind w:left="447" w:leftChars="150"/>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fldChar w:fldCharType="begin"/>
                </w:r>
                <w:r>
                  <w:rPr>
                    <w:rFonts w:ascii="Times New Roman" w:hAnsi="Times New Roman" w:cs="Times New Roman" w:eastAsiaTheme="minorEastAsia"/>
                    <w:sz w:val="28"/>
                    <w:szCs w:val="28"/>
                  </w:rPr>
                  <w:instrText xml:space="preserve"> PAGE  \* MERGEFORMAT </w:instrText>
                </w:r>
                <w:r>
                  <w:rPr>
                    <w:rFonts w:ascii="Times New Roman" w:hAnsi="Times New Roman" w:cs="Times New Roman" w:eastAsiaTheme="minorEastAsia"/>
                    <w:sz w:val="28"/>
                    <w:szCs w:val="28"/>
                  </w:rPr>
                  <w:fldChar w:fldCharType="separate"/>
                </w:r>
                <w:r>
                  <w:rPr>
                    <w:rFonts w:ascii="Times New Roman" w:hAnsi="Times New Roman" w:cs="Times New Roman" w:eastAsiaTheme="minorEastAsia"/>
                    <w:sz w:val="28"/>
                    <w:szCs w:val="28"/>
                  </w:rPr>
                  <w:t>2</w:t>
                </w:r>
                <w:r>
                  <w:rPr>
                    <w:rFonts w:ascii="Times New Roman" w:hAnsi="Times New Roman" w:cs="Times New Roman" w:eastAsiaTheme="minorEastAsia"/>
                    <w:sz w:val="28"/>
                    <w:szCs w:val="28"/>
                  </w:rPr>
                  <w:fldChar w:fldCharType="end"/>
                </w:r>
                <w:r>
                  <w:rPr>
                    <w:rFonts w:hint="eastAsia" w:ascii="Times New Roman" w:hAnsi="Times New Roman" w:cs="Times New Roman" w:eastAsiaTheme="minorEastAsia"/>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revisionView w:markup="0"/>
  <w:documentProtection w:enforcement="0"/>
  <w:defaultTabStop w:val="420"/>
  <w:evenAndOddHeaders w:val="1"/>
  <w:drawingGridHorizontalSpacing w:val="158"/>
  <w:drawingGridVerticalSpacing w:val="298"/>
  <w:displayHorizontalDrawingGridEvery w:val="2"/>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M4MDU5ODdkNGMzZjNlNDJlNjNmNWFkN2M5ODczYzIifQ=="/>
  </w:docVars>
  <w:rsids>
    <w:rsidRoot w:val="11691A40"/>
    <w:rsid w:val="00096F27"/>
    <w:rsid w:val="001922AC"/>
    <w:rsid w:val="001D5E39"/>
    <w:rsid w:val="00384FE3"/>
    <w:rsid w:val="0051455A"/>
    <w:rsid w:val="00664C81"/>
    <w:rsid w:val="00A00748"/>
    <w:rsid w:val="00AF64A9"/>
    <w:rsid w:val="00CA1596"/>
    <w:rsid w:val="11691A40"/>
    <w:rsid w:val="3727E8FF"/>
    <w:rsid w:val="3AFF1625"/>
    <w:rsid w:val="43B792A0"/>
    <w:rsid w:val="51F10124"/>
    <w:rsid w:val="76D17DF4"/>
    <w:rsid w:val="7EDC3DD0"/>
    <w:rsid w:val="E4BFC4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heme="minorBidi"/>
      <w:spacing w:val="-11"/>
      <w:kern w:val="2"/>
      <w:sz w:val="32"/>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 w:type="character" w:customStyle="1" w:styleId="10">
    <w:name w:val="批注框文本 Char"/>
    <w:basedOn w:val="7"/>
    <w:link w:val="2"/>
    <w:qFormat/>
    <w:uiPriority w:val="0"/>
    <w:rPr>
      <w:rFonts w:ascii="仿宋_GB2312" w:hAnsi="仿宋_GB2312" w:eastAsia="仿宋_GB2312" w:cstheme="minorBidi"/>
      <w:spacing w:val="-11"/>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798</Words>
  <Characters>833</Characters>
  <Lines>6</Lines>
  <Paragraphs>1</Paragraphs>
  <TotalTime>14</TotalTime>
  <ScaleCrop>false</ScaleCrop>
  <LinksUpToDate>false</LinksUpToDate>
  <CharactersWithSpaces>848</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2021-10-26T13:01:00Z</dcterms:created>
  <dc:creator>HP</dc:creator>
  <cp:lastModifiedBy>·</cp:lastModifiedBy>
  <dcterms:modified xsi:type="dcterms:W3CDTF">2022-06-20T13:50:20Z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E05D2768F4E348B6BE31868E74083329</vt:lpwstr>
  </property>
</Properties>
</file>