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b/>
          <w:sz w:val="44"/>
          <w:szCs w:val="44"/>
        </w:rPr>
      </w:pPr>
      <w:r>
        <w:rPr>
          <w:rFonts w:hint="eastAsia" w:ascii="宋体" w:hAnsi="宋体"/>
          <w:b/>
          <w:sz w:val="44"/>
          <w:szCs w:val="44"/>
        </w:rPr>
        <mc:AlternateContent>
          <mc:Choice Requires="wps">
            <w:drawing>
              <wp:anchor distT="0" distB="0" distL="114300" distR="114300" simplePos="0" relativeHeight="251660288" behindDoc="0" locked="0" layoutInCell="1" allowOverlap="1">
                <wp:simplePos x="0" y="0"/>
                <wp:positionH relativeFrom="column">
                  <wp:posOffset>-410210</wp:posOffset>
                </wp:positionH>
                <wp:positionV relativeFrom="paragraph">
                  <wp:posOffset>-396240</wp:posOffset>
                </wp:positionV>
                <wp:extent cx="571500" cy="396240"/>
                <wp:effectExtent l="0" t="0" r="0" b="3810"/>
                <wp:wrapNone/>
                <wp:docPr id="1" name="文本框 4"/>
                <wp:cNvGraphicFramePr/>
                <a:graphic xmlns:a="http://schemas.openxmlformats.org/drawingml/2006/main">
                  <a:graphicData uri="http://schemas.microsoft.com/office/word/2010/wordprocessingShape">
                    <wps:wsp>
                      <wps:cNvSpPr txBox="1"/>
                      <wps:spPr>
                        <a:xfrm>
                          <a:off x="0" y="0"/>
                          <a:ext cx="571500" cy="396240"/>
                        </a:xfrm>
                        <a:prstGeom prst="rect">
                          <a:avLst/>
                        </a:prstGeom>
                        <a:solidFill>
                          <a:srgbClr val="FFFFFF"/>
                        </a:solidFill>
                        <a:ln>
                          <a:noFill/>
                        </a:ln>
                      </wps:spPr>
                      <wps:txbx>
                        <w:txbxContent>
                          <w:p>
                            <w:pPr>
                              <w:rPr>
                                <w:sz w:val="24"/>
                              </w:rPr>
                            </w:pPr>
                          </w:p>
                        </w:txbxContent>
                      </wps:txbx>
                      <wps:bodyPr wrap="square" upright="1"/>
                    </wps:wsp>
                  </a:graphicData>
                </a:graphic>
              </wp:anchor>
            </w:drawing>
          </mc:Choice>
          <mc:Fallback>
            <w:pict>
              <v:shape id="文本框 4" o:spid="_x0000_s1026" o:spt="202" type="#_x0000_t202" style="position:absolute;left:0pt;margin-left:-32.3pt;margin-top:-31.2pt;height:31.2pt;width:45pt;z-index:251660288;mso-width-relative:page;mso-height-relative:page;" fillcolor="#FFFFFF" filled="t" stroked="f" coordsize="21600,21600" o:gfxdata="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Be2KfP1AAAAAcBAAAPAAAAAAAAAAEAIAAAACIAAABkcnMvZG93&#10;bnJldi54bWxQSwECFAAUAAAACACHTuJAyUPlQMsBAACEAwAADgAAAAAAAAABACAAAAAjAQAAZHJz&#10;L2Uyb0RvYy54bWxQSwUGAAAAAAYABgBZAQAAYAUAAAAA&#10;">
                <v:fill on="t" focussize="0,0"/>
                <v:stroke on="f"/>
                <v:imagedata o:title=""/>
                <o:lock v:ext="edit" aspectratio="f"/>
                <v:textbox>
                  <w:txbxContent>
                    <w:p>
                      <w:pPr>
                        <w:rPr>
                          <w:sz w:val="24"/>
                        </w:rPr>
                      </w:pPr>
                    </w:p>
                  </w:txbxContent>
                </v:textbox>
              </v:shape>
            </w:pict>
          </mc:Fallback>
        </mc:AlternateContent>
      </w:r>
      <w:r>
        <w:rPr>
          <w:rFonts w:hint="eastAsia" w:ascii="宋体" w:hAnsi="宋体"/>
          <w:b/>
          <w:sz w:val="44"/>
          <w:szCs w:val="44"/>
        </w:rPr>
        <w:t>贵港市</w:t>
      </w:r>
      <w:r>
        <w:rPr>
          <w:rFonts w:hint="eastAsia" w:ascii="宋体" w:hAnsi="宋体"/>
          <w:b/>
          <w:sz w:val="44"/>
          <w:szCs w:val="44"/>
          <w:lang w:val="en-US" w:eastAsia="zh-CN"/>
        </w:rPr>
        <w:t>2024</w:t>
      </w:r>
      <w:r>
        <w:rPr>
          <w:rFonts w:hint="eastAsia" w:ascii="宋体" w:hAnsi="宋体"/>
          <w:b/>
          <w:sz w:val="44"/>
          <w:szCs w:val="44"/>
        </w:rPr>
        <w:t>年第</w:t>
      </w:r>
      <w:r>
        <w:rPr>
          <w:rFonts w:hint="eastAsia" w:ascii="宋体" w:hAnsi="宋体" w:cs="宋体"/>
          <w:b/>
          <w:bCs/>
          <w:sz w:val="44"/>
          <w:szCs w:val="44"/>
          <w:lang w:val="en-US" w:eastAsia="zh-CN"/>
        </w:rPr>
        <w:t>五十一</w:t>
      </w:r>
      <w:r>
        <w:rPr>
          <w:rFonts w:hint="eastAsia" w:ascii="宋体" w:hAnsi="宋体"/>
          <w:b/>
          <w:sz w:val="44"/>
          <w:szCs w:val="44"/>
        </w:rPr>
        <w:t>期</w:t>
      </w:r>
    </w:p>
    <w:p>
      <w:pPr>
        <w:jc w:val="center"/>
        <w:rPr>
          <w:rFonts w:ascii="宋体" w:hAnsi="宋体"/>
          <w:b/>
          <w:sz w:val="44"/>
          <w:szCs w:val="44"/>
        </w:rPr>
      </w:pPr>
      <w:r>
        <w:rPr>
          <w:rFonts w:hint="eastAsia" w:ascii="宋体" w:hAnsi="宋体"/>
          <w:b/>
          <w:sz w:val="44"/>
          <w:szCs w:val="44"/>
        </w:rPr>
        <w:t>国有建设用地使用权挂牌出让须知</w:t>
      </w:r>
    </w:p>
    <w:p>
      <w:pPr>
        <w:spacing w:line="560" w:lineRule="exact"/>
        <w:ind w:firstLine="602" w:firstLineChars="200"/>
        <w:jc w:val="center"/>
        <w:rPr>
          <w:rFonts w:hint="eastAsia" w:ascii="仿宋" w:hAnsi="仿宋" w:eastAsia="仿宋"/>
          <w:b/>
          <w:sz w:val="30"/>
          <w:szCs w:val="30"/>
          <w:lang w:eastAsia="zh-CN"/>
        </w:rPr>
      </w:pPr>
      <w:r>
        <w:rPr>
          <w:rFonts w:hint="eastAsia" w:ascii="仿宋" w:hAnsi="仿宋" w:eastAsia="仿宋"/>
          <w:b/>
          <w:sz w:val="30"/>
          <w:szCs w:val="30"/>
          <w:lang w:eastAsia="zh-CN"/>
        </w:rPr>
        <w:t>（</w:t>
      </w:r>
      <w:r>
        <w:rPr>
          <w:rFonts w:hint="eastAsia" w:ascii="仿宋" w:hAnsi="仿宋" w:eastAsia="仿宋"/>
          <w:b/>
          <w:sz w:val="30"/>
          <w:szCs w:val="30"/>
          <w:lang w:val="en-US" w:eastAsia="zh-CN"/>
        </w:rPr>
        <w:t>网上交易</w:t>
      </w:r>
      <w:r>
        <w:rPr>
          <w:rFonts w:hint="eastAsia" w:ascii="仿宋" w:hAnsi="仿宋" w:eastAsia="仿宋"/>
          <w:b/>
          <w:sz w:val="30"/>
          <w:szCs w:val="30"/>
          <w:lang w:eastAsia="zh-CN"/>
        </w:rPr>
        <w:t>）</w:t>
      </w:r>
    </w:p>
    <w:p>
      <w:pPr>
        <w:spacing w:line="420" w:lineRule="exact"/>
        <w:rPr>
          <w:rFonts w:ascii="仿宋" w:hAnsi="仿宋" w:eastAsia="仿宋"/>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before="156" w:beforeLines="50" w:after="156" w:afterLines="50" w:line="520" w:lineRule="exact"/>
        <w:ind w:firstLine="643" w:firstLineChars="200"/>
        <w:textAlignment w:val="auto"/>
        <w:rPr>
          <w:rFonts w:hint="eastAsia" w:ascii="仿宋_GB2312" w:hAnsi="仿宋" w:eastAsia="仿宋_GB2312"/>
          <w:sz w:val="32"/>
          <w:szCs w:val="32"/>
          <w:u w:val="single"/>
          <w:lang w:val="en-US" w:eastAsia="zh-CN"/>
        </w:rPr>
      </w:pPr>
      <w:r>
        <w:rPr>
          <w:rFonts w:hint="eastAsia" w:ascii="仿宋_GB2312" w:hAnsi="仿宋" w:eastAsia="仿宋_GB2312"/>
          <w:b/>
          <w:bCs/>
          <w:sz w:val="32"/>
          <w:szCs w:val="32"/>
          <w:lang w:val="en-US" w:eastAsia="zh-CN"/>
        </w:rPr>
        <w:t>一、</w:t>
      </w:r>
      <w:r>
        <w:rPr>
          <w:rFonts w:hint="eastAsia" w:ascii="仿宋_GB2312" w:hAnsi="仿宋" w:eastAsia="仿宋_GB2312"/>
          <w:sz w:val="32"/>
          <w:szCs w:val="32"/>
        </w:rPr>
        <w:t>本期挂牌宗地位于：</w:t>
      </w:r>
      <w:r>
        <w:rPr>
          <w:rFonts w:hint="default" w:ascii="仿宋_GB2312" w:hAnsi="仿宋" w:eastAsia="仿宋_GB2312"/>
          <w:sz w:val="32"/>
          <w:szCs w:val="32"/>
          <w:u w:val="single"/>
          <w:lang w:val="en-US" w:eastAsia="zh-CN"/>
        </w:rPr>
        <w:t>贵港市港南区滨江产业园区</w:t>
      </w:r>
      <w:r>
        <w:rPr>
          <w:rFonts w:hint="eastAsia" w:ascii="仿宋_GB2312" w:hAnsi="仿宋" w:eastAsia="仿宋_GB2312"/>
          <w:sz w:val="32"/>
          <w:szCs w:val="32"/>
          <w:u w:val="none"/>
          <w:lang w:val="en-US" w:eastAsia="zh-CN"/>
        </w:rPr>
        <w:t>,</w:t>
      </w:r>
      <w:r>
        <w:rPr>
          <w:rFonts w:hint="eastAsia" w:ascii="仿宋_GB2312" w:hAnsi="仿宋" w:eastAsia="仿宋_GB2312"/>
          <w:sz w:val="32"/>
          <w:szCs w:val="32"/>
        </w:rPr>
        <w:t>实际</w:t>
      </w:r>
      <w:r>
        <w:rPr>
          <w:rFonts w:hint="eastAsia" w:ascii="仿宋_GB2312" w:hAnsi="仿宋" w:eastAsia="仿宋_GB2312"/>
          <w:sz w:val="32"/>
          <w:szCs w:val="32"/>
          <w:lang w:val="en-US" w:eastAsia="zh-CN"/>
        </w:rPr>
        <w:t>出让</w:t>
      </w:r>
      <w:r>
        <w:rPr>
          <w:rFonts w:hint="eastAsia" w:ascii="仿宋_GB2312" w:hAnsi="仿宋" w:eastAsia="仿宋_GB2312"/>
          <w:sz w:val="32"/>
          <w:szCs w:val="32"/>
        </w:rPr>
        <w:t>面积</w:t>
      </w:r>
      <w:r>
        <w:rPr>
          <w:rFonts w:hint="default" w:ascii="仿宋_GB2312" w:hAnsi="仿宋" w:eastAsia="仿宋_GB2312"/>
          <w:sz w:val="32"/>
          <w:szCs w:val="32"/>
          <w:u w:val="single"/>
          <w:lang w:val="en-US" w:eastAsia="zh-CN"/>
        </w:rPr>
        <w:t>1315.40㎡（折合1.973亩）</w:t>
      </w:r>
      <w:r>
        <w:rPr>
          <w:rFonts w:hint="eastAsia" w:ascii="仿宋_GB2312" w:hAnsi="仿宋" w:eastAsia="仿宋_GB2312"/>
          <w:sz w:val="32"/>
          <w:szCs w:val="32"/>
        </w:rPr>
        <w:t>，规划用途为</w:t>
      </w:r>
      <w:r>
        <w:rPr>
          <w:rFonts w:hint="eastAsia" w:ascii="仿宋_GB2312" w:hAnsi="仿宋" w:eastAsia="仿宋_GB2312"/>
          <w:sz w:val="32"/>
          <w:szCs w:val="32"/>
          <w:lang w:val="en-US" w:eastAsia="zh-CN"/>
        </w:rPr>
        <w:t>：</w:t>
      </w:r>
      <w:r>
        <w:rPr>
          <w:rFonts w:hint="default" w:ascii="仿宋_GB2312" w:hAnsi="仿宋" w:eastAsia="仿宋_GB2312"/>
          <w:sz w:val="32"/>
          <w:szCs w:val="32"/>
          <w:u w:val="single"/>
          <w:lang w:val="en-US" w:eastAsia="zh-CN"/>
        </w:rPr>
        <w:t>二类工业用地</w:t>
      </w:r>
      <w:r>
        <w:rPr>
          <w:rFonts w:hint="eastAsia" w:ascii="仿宋_GB2312" w:hAnsi="仿宋" w:eastAsia="仿宋_GB2312"/>
          <w:sz w:val="32"/>
          <w:szCs w:val="32"/>
          <w:lang w:val="en-US" w:eastAsia="zh-CN"/>
        </w:rPr>
        <w:t>。</w:t>
      </w:r>
    </w:p>
    <w:p>
      <w:pPr>
        <w:spacing w:before="156" w:beforeLines="50" w:after="156" w:afterLines="50" w:line="520" w:lineRule="exact"/>
        <w:ind w:firstLine="643" w:firstLineChars="200"/>
        <w:rPr>
          <w:rFonts w:hint="eastAsia" w:ascii="仿宋_GB2312" w:hAnsi="仿宋" w:eastAsia="仿宋_GB2312"/>
          <w:b/>
          <w:bCs/>
          <w:sz w:val="32"/>
          <w:szCs w:val="32"/>
          <w:lang w:val="en-US" w:eastAsia="zh-CN"/>
        </w:rPr>
      </w:pPr>
      <w:r>
        <w:rPr>
          <w:rFonts w:hint="eastAsia" w:ascii="仿宋_GB2312" w:hAnsi="仿宋" w:eastAsia="仿宋_GB2312"/>
          <w:b/>
          <w:bCs/>
          <w:sz w:val="32"/>
          <w:szCs w:val="32"/>
          <w:lang w:val="en-US" w:eastAsia="zh-CN"/>
        </w:rPr>
        <w:t xml:space="preserve">二、报名申请和资格审查 </w:t>
      </w:r>
    </w:p>
    <w:p>
      <w:pPr>
        <w:spacing w:before="156" w:beforeLines="50" w:after="156" w:afterLines="50" w:line="520" w:lineRule="exact"/>
        <w:ind w:firstLine="640" w:firstLineChars="200"/>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（一）用户注册</w:t>
      </w:r>
    </w:p>
    <w:p>
      <w:pPr>
        <w:keepNext w:val="0"/>
        <w:keepLines w:val="0"/>
        <w:pageBreakBefore w:val="0"/>
        <w:widowControl w:val="0"/>
        <w:kinsoku/>
        <w:wordWrap w:val="0"/>
        <w:overflowPunct/>
        <w:topLinePunct w:val="0"/>
        <w:autoSpaceDE/>
        <w:autoSpaceDN/>
        <w:bidi w:val="0"/>
        <w:adjustRightInd/>
        <w:snapToGrid/>
        <w:spacing w:before="156" w:beforeLines="50" w:after="156" w:afterLines="50" w:line="520" w:lineRule="exact"/>
        <w:ind w:firstLine="640" w:firstLineChars="200"/>
        <w:textAlignment w:val="auto"/>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 xml:space="preserve">竞买申请人登录广西壮族自治区公共资源交易平台系统（贵港） （http://202.103.240.162:8081/GgzyjySSO/login/oauth2login?PlatformCode=E4508002851）（以下简称网上交易系统））进行用户注册。详细操作流程请登录全国公共交易平台（广西 壮 族 自 治 区 ） 官 网 中 的 综合 服 务 - 办 事 指 南http://ggzy.jgswj.gxzf.gov.cn/gxggzy/gywm/004021/004021001/policyLaws.html）下载权益类交易（土地使用权操作手册）。 </w:t>
      </w:r>
    </w:p>
    <w:p>
      <w:pPr>
        <w:keepNext w:val="0"/>
        <w:keepLines w:val="0"/>
        <w:pageBreakBefore w:val="0"/>
        <w:widowControl w:val="0"/>
        <w:kinsoku/>
        <w:wordWrap w:val="0"/>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 xml:space="preserve">（二）数字证书办理 </w:t>
      </w:r>
    </w:p>
    <w:p>
      <w:pPr>
        <w:keepNext w:val="0"/>
        <w:keepLines w:val="0"/>
        <w:pageBreakBefore w:val="0"/>
        <w:widowControl w:val="0"/>
        <w:kinsoku/>
        <w:wordWrap w:val="0"/>
        <w:overflowPunct/>
        <w:topLinePunct w:val="0"/>
        <w:autoSpaceDE/>
        <w:autoSpaceDN/>
        <w:bidi w:val="0"/>
        <w:adjustRightInd/>
        <w:snapToGrid/>
        <w:spacing w:before="156" w:beforeLines="50" w:after="156" w:afterLines="50" w:line="520" w:lineRule="exact"/>
        <w:ind w:firstLine="640" w:firstLineChars="200"/>
        <w:textAlignment w:val="auto"/>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竞买申请人在参加竞买前需办理数字证书方可登入网上交易系统。数字证书的办理请登录广西壮族自治区公共资源交易平台系统数字证书（ CA ）交叉互认平台（ 网 址 ：</w:t>
      </w:r>
      <w:r>
        <w:rPr>
          <w:rFonts w:hint="eastAsia" w:ascii="仿宋_GB2312" w:hAnsi="仿宋" w:eastAsia="仿宋_GB2312"/>
          <w:sz w:val="32"/>
          <w:szCs w:val="32"/>
          <w:lang w:val="en-US" w:eastAsia="zh-CN"/>
        </w:rPr>
        <w:fldChar w:fldCharType="begin"/>
      </w:r>
      <w:r>
        <w:rPr>
          <w:rFonts w:hint="eastAsia" w:ascii="仿宋_GB2312" w:hAnsi="仿宋" w:eastAsia="仿宋_GB2312"/>
          <w:sz w:val="32"/>
          <w:szCs w:val="32"/>
          <w:lang w:val="en-US" w:eastAsia="zh-CN"/>
        </w:rPr>
        <w:instrText xml:space="preserve"> HYPERLINK "http://ggzy.jgswj.gxzf.gov.cn/gxggzy/CAhrpt/CAlogin.html）。" </w:instrText>
      </w:r>
      <w:r>
        <w:rPr>
          <w:rFonts w:hint="eastAsia" w:ascii="仿宋_GB2312" w:hAnsi="仿宋" w:eastAsia="仿宋_GB2312"/>
          <w:sz w:val="32"/>
          <w:szCs w:val="32"/>
          <w:lang w:val="en-US" w:eastAsia="zh-CN"/>
        </w:rPr>
        <w:fldChar w:fldCharType="separate"/>
      </w:r>
      <w:r>
        <w:rPr>
          <w:rFonts w:hint="eastAsia" w:ascii="仿宋_GB2312" w:hAnsi="仿宋" w:eastAsia="仿宋_GB2312"/>
          <w:sz w:val="32"/>
          <w:szCs w:val="32"/>
          <w:lang w:val="en-US" w:eastAsia="zh-CN"/>
        </w:rPr>
        <w:t>http://ggzy.jgswj.gxzf.gov.cn/gxggzy/CAhrpt/CAlogin.html）。</w:t>
      </w:r>
      <w:r>
        <w:rPr>
          <w:rFonts w:hint="eastAsia" w:ascii="仿宋_GB2312" w:hAnsi="仿宋" w:eastAsia="仿宋_GB2312"/>
          <w:sz w:val="32"/>
          <w:szCs w:val="32"/>
          <w:lang w:val="en-US" w:eastAsia="zh-CN"/>
        </w:rPr>
        <w:fldChar w:fldCharType="end"/>
      </w:r>
    </w:p>
    <w:p>
      <w:pPr>
        <w:keepNext w:val="0"/>
        <w:keepLines w:val="0"/>
        <w:pageBreakBefore w:val="0"/>
        <w:widowControl w:val="0"/>
        <w:kinsoku/>
        <w:wordWrap w:val="0"/>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 xml:space="preserve">（三）报名申请 </w:t>
      </w:r>
    </w:p>
    <w:p>
      <w:pPr>
        <w:keepNext w:val="0"/>
        <w:keepLines w:val="0"/>
        <w:pageBreakBefore w:val="0"/>
        <w:kinsoku/>
        <w:wordWrap/>
        <w:overflowPunct/>
        <w:topLinePunct w:val="0"/>
        <w:autoSpaceDE/>
        <w:autoSpaceDN/>
        <w:bidi w:val="0"/>
        <w:adjustRightInd/>
        <w:spacing w:line="540" w:lineRule="exact"/>
        <w:ind w:firstLine="640" w:firstLineChars="200"/>
        <w:textAlignment w:val="auto"/>
        <w:rPr>
          <w:rFonts w:ascii="Times New Roman" w:hAnsi="Times New Roman" w:eastAsia="仿宋_GB2312"/>
          <w:color w:val="000000"/>
          <w:spacing w:val="0"/>
          <w:sz w:val="32"/>
          <w:szCs w:val="32"/>
        </w:rPr>
      </w:pPr>
      <w:r>
        <w:rPr>
          <w:rFonts w:ascii="Times New Roman" w:hAnsi="Times New Roman" w:eastAsia="仿宋_GB2312"/>
          <w:color w:val="000000"/>
          <w:spacing w:val="0"/>
          <w:sz w:val="32"/>
          <w:szCs w:val="32"/>
          <w:lang w:val="en-US" w:eastAsia="zh-CN"/>
        </w:rPr>
        <w:t>竞买申请人在提交竞买申请前，应当详细阅读网上出让公 告、出让须知等文件。竞买申请书一经提交，即视为对网上交易系统交易规则、出让文件无异议。</w:t>
      </w:r>
      <w:r>
        <w:rPr>
          <w:rFonts w:hint="eastAsia" w:ascii="Times New Roman" w:hAnsi="Times New Roman" w:eastAsia="仿宋_GB2312"/>
          <w:color w:val="000000"/>
          <w:spacing w:val="0"/>
          <w:sz w:val="32"/>
          <w:szCs w:val="32"/>
          <w:lang w:val="en-US" w:eastAsia="zh-CN"/>
        </w:rPr>
        <w:t>有意竞买人可在挂牌报名截止时间前登入网上交易系统扫描上传以下材料：</w:t>
      </w:r>
    </w:p>
    <w:p>
      <w:pPr>
        <w:keepNext w:val="0"/>
        <w:keepLines w:val="0"/>
        <w:pageBreakBefore w:val="0"/>
        <w:kinsoku/>
        <w:wordWrap/>
        <w:overflowPunct/>
        <w:topLinePunct w:val="0"/>
        <w:autoSpaceDE/>
        <w:autoSpaceDN/>
        <w:bidi w:val="0"/>
        <w:adjustRightInd/>
        <w:spacing w:line="540" w:lineRule="exact"/>
        <w:ind w:firstLine="640" w:firstLineChars="200"/>
        <w:textAlignment w:val="auto"/>
        <w:rPr>
          <w:rFonts w:ascii="Times New Roman" w:hAnsi="Times New Roman" w:eastAsia="仿宋_GB2312"/>
          <w:color w:val="000000"/>
          <w:spacing w:val="0"/>
          <w:sz w:val="32"/>
          <w:szCs w:val="32"/>
        </w:rPr>
      </w:pPr>
      <w:r>
        <w:rPr>
          <w:rFonts w:hint="eastAsia" w:ascii="Times New Roman" w:hAnsi="Times New Roman" w:eastAsia="仿宋_GB2312"/>
          <w:color w:val="000000"/>
          <w:spacing w:val="0"/>
          <w:sz w:val="32"/>
          <w:szCs w:val="32"/>
          <w:lang w:val="en-US" w:eastAsia="zh-CN"/>
        </w:rPr>
        <w:t>1.竞买申请书；</w:t>
      </w:r>
    </w:p>
    <w:p>
      <w:pPr>
        <w:keepNext w:val="0"/>
        <w:keepLines w:val="0"/>
        <w:pageBreakBefore w:val="0"/>
        <w:kinsoku/>
        <w:wordWrap/>
        <w:overflowPunct/>
        <w:topLinePunct w:val="0"/>
        <w:autoSpaceDE/>
        <w:autoSpaceDN/>
        <w:bidi w:val="0"/>
        <w:adjustRightInd/>
        <w:spacing w:line="540" w:lineRule="exact"/>
        <w:ind w:firstLine="640" w:firstLineChars="200"/>
        <w:textAlignment w:val="auto"/>
        <w:rPr>
          <w:rFonts w:ascii="Times New Roman" w:hAnsi="Times New Roman" w:eastAsia="仿宋_GB2312"/>
          <w:color w:val="000000"/>
          <w:spacing w:val="0"/>
          <w:sz w:val="32"/>
          <w:szCs w:val="32"/>
        </w:rPr>
      </w:pPr>
      <w:r>
        <w:rPr>
          <w:rFonts w:hint="eastAsia" w:ascii="Times New Roman" w:hAnsi="Times New Roman" w:eastAsia="仿宋_GB2312"/>
          <w:color w:val="000000"/>
          <w:spacing w:val="0"/>
          <w:sz w:val="32"/>
          <w:szCs w:val="32"/>
          <w:lang w:val="en-US" w:eastAsia="zh-CN"/>
        </w:rPr>
        <w:t>2.资信证明（竞买人在报名期内到商业金融机构出具）；</w:t>
      </w:r>
    </w:p>
    <w:p>
      <w:pPr>
        <w:keepNext w:val="0"/>
        <w:keepLines w:val="0"/>
        <w:pageBreakBefore w:val="0"/>
        <w:kinsoku/>
        <w:wordWrap/>
        <w:overflowPunct/>
        <w:topLinePunct w:val="0"/>
        <w:autoSpaceDE/>
        <w:autoSpaceDN/>
        <w:bidi w:val="0"/>
        <w:adjustRightInd/>
        <w:spacing w:line="540" w:lineRule="exact"/>
        <w:ind w:firstLine="640" w:firstLineChars="200"/>
        <w:textAlignment w:val="auto"/>
        <w:rPr>
          <w:rFonts w:ascii="Times New Roman" w:hAnsi="Times New Roman" w:eastAsia="仿宋_GB2312"/>
          <w:color w:val="000000"/>
          <w:spacing w:val="0"/>
          <w:sz w:val="32"/>
          <w:szCs w:val="32"/>
        </w:rPr>
      </w:pPr>
      <w:r>
        <w:rPr>
          <w:rFonts w:hint="eastAsia" w:ascii="Times New Roman" w:hAnsi="Times New Roman" w:eastAsia="仿宋_GB2312"/>
          <w:color w:val="000000"/>
          <w:spacing w:val="0"/>
          <w:sz w:val="32"/>
          <w:szCs w:val="32"/>
          <w:lang w:val="en-US" w:eastAsia="zh-CN"/>
        </w:rPr>
        <w:t>3.承诺书（竞买保证金不属于银行贷款、股东借款、转贷 和募集资金的承诺书） ；</w:t>
      </w:r>
    </w:p>
    <w:p>
      <w:pPr>
        <w:keepNext w:val="0"/>
        <w:keepLines w:val="0"/>
        <w:pageBreakBefore w:val="0"/>
        <w:kinsoku/>
        <w:wordWrap/>
        <w:overflowPunct/>
        <w:topLinePunct w:val="0"/>
        <w:autoSpaceDE/>
        <w:autoSpaceDN/>
        <w:bidi w:val="0"/>
        <w:adjustRightInd/>
        <w:spacing w:line="540" w:lineRule="exact"/>
        <w:ind w:firstLine="640" w:firstLineChars="200"/>
        <w:textAlignment w:val="auto"/>
        <w:rPr>
          <w:rFonts w:hint="eastAsia" w:ascii="Times New Roman" w:hAnsi="Times New Roman" w:eastAsia="仿宋_GB2312"/>
          <w:color w:val="000000"/>
          <w:spacing w:val="0"/>
          <w:sz w:val="32"/>
          <w:szCs w:val="32"/>
        </w:rPr>
      </w:pPr>
      <w:r>
        <w:rPr>
          <w:rFonts w:hint="eastAsia" w:ascii="Times New Roman" w:hAnsi="Times New Roman" w:eastAsia="仿宋_GB2312"/>
          <w:color w:val="000000"/>
          <w:spacing w:val="0"/>
          <w:sz w:val="32"/>
          <w:szCs w:val="32"/>
          <w:lang w:val="en-US" w:eastAsia="zh-CN"/>
        </w:rPr>
        <w:t>4.营业执照三证合一副本 (复印件）；</w:t>
      </w:r>
    </w:p>
    <w:p>
      <w:pPr>
        <w:keepNext w:val="0"/>
        <w:keepLines w:val="0"/>
        <w:pageBreakBefore w:val="0"/>
        <w:kinsoku/>
        <w:wordWrap/>
        <w:overflowPunct/>
        <w:topLinePunct w:val="0"/>
        <w:autoSpaceDE/>
        <w:autoSpaceDN/>
        <w:bidi w:val="0"/>
        <w:adjustRightInd/>
        <w:spacing w:line="540" w:lineRule="exact"/>
        <w:ind w:firstLine="640" w:firstLineChars="200"/>
        <w:textAlignment w:val="auto"/>
        <w:rPr>
          <w:rFonts w:hint="eastAsia" w:ascii="Times New Roman" w:hAnsi="Times New Roman" w:eastAsia="仿宋_GB2312"/>
          <w:color w:val="000000"/>
          <w:spacing w:val="0"/>
          <w:sz w:val="32"/>
          <w:szCs w:val="32"/>
        </w:rPr>
      </w:pPr>
      <w:r>
        <w:rPr>
          <w:rFonts w:hint="eastAsia" w:ascii="Times New Roman" w:hAnsi="Times New Roman" w:eastAsia="仿宋_GB2312"/>
          <w:color w:val="000000"/>
          <w:spacing w:val="0"/>
          <w:sz w:val="32"/>
          <w:szCs w:val="32"/>
          <w:lang w:val="en-US" w:eastAsia="zh-CN"/>
        </w:rPr>
        <w:t>5.法人身份证复印件；</w:t>
      </w:r>
    </w:p>
    <w:p>
      <w:pPr>
        <w:keepNext w:val="0"/>
        <w:keepLines w:val="0"/>
        <w:pageBreakBefore w:val="0"/>
        <w:kinsoku/>
        <w:wordWrap/>
        <w:overflowPunct/>
        <w:topLinePunct w:val="0"/>
        <w:autoSpaceDE/>
        <w:autoSpaceDN/>
        <w:bidi w:val="0"/>
        <w:adjustRightInd/>
        <w:spacing w:line="540" w:lineRule="exact"/>
        <w:ind w:firstLine="640" w:firstLineChars="200"/>
        <w:textAlignment w:val="auto"/>
        <w:rPr>
          <w:rFonts w:hint="eastAsia" w:ascii="Times New Roman" w:hAnsi="Times New Roman" w:eastAsia="仿宋_GB2312"/>
          <w:color w:val="000000"/>
          <w:spacing w:val="0"/>
          <w:sz w:val="32"/>
          <w:szCs w:val="32"/>
        </w:rPr>
      </w:pPr>
      <w:r>
        <w:rPr>
          <w:rFonts w:hint="eastAsia" w:ascii="Times New Roman" w:hAnsi="Times New Roman" w:eastAsia="仿宋_GB2312"/>
          <w:color w:val="000000"/>
          <w:spacing w:val="0"/>
          <w:sz w:val="32"/>
          <w:szCs w:val="32"/>
          <w:lang w:val="en-US" w:eastAsia="zh-CN"/>
        </w:rPr>
        <w:t>6.委托代理的还应提交授权委托书(原件)及委托代理人身份证(复印件)；</w:t>
      </w:r>
    </w:p>
    <w:p>
      <w:pPr>
        <w:keepNext w:val="0"/>
        <w:keepLines w:val="0"/>
        <w:pageBreakBefore w:val="0"/>
        <w:kinsoku/>
        <w:wordWrap/>
        <w:overflowPunct/>
        <w:topLinePunct w:val="0"/>
        <w:autoSpaceDE/>
        <w:autoSpaceDN/>
        <w:bidi w:val="0"/>
        <w:adjustRightInd/>
        <w:spacing w:line="540" w:lineRule="exact"/>
        <w:ind w:firstLine="640" w:firstLineChars="200"/>
        <w:textAlignment w:val="auto"/>
        <w:rPr>
          <w:rFonts w:hint="eastAsia" w:ascii="Times New Roman" w:hAnsi="Times New Roman" w:eastAsia="仿宋_GB2312"/>
          <w:color w:val="000000"/>
          <w:spacing w:val="0"/>
          <w:sz w:val="32"/>
          <w:szCs w:val="32"/>
        </w:rPr>
      </w:pPr>
      <w:r>
        <w:rPr>
          <w:rFonts w:hint="eastAsia" w:ascii="Times New Roman" w:hAnsi="Times New Roman" w:eastAsia="仿宋_GB2312"/>
          <w:color w:val="000000"/>
          <w:spacing w:val="0"/>
          <w:sz w:val="32"/>
          <w:szCs w:val="32"/>
          <w:lang w:val="en-US" w:eastAsia="zh-CN"/>
        </w:rPr>
        <w:t>7.竞买申请人属联合申请竞买的,必须出具联合各方共同签署的合作协议。</w:t>
      </w:r>
    </w:p>
    <w:p>
      <w:pPr>
        <w:spacing w:line="520" w:lineRule="exact"/>
        <w:ind w:firstLine="643" w:firstLineChars="200"/>
        <w:rPr>
          <w:rFonts w:hint="default" w:ascii="仿宋_GB2312" w:hAnsi="宋体" w:eastAsia="仿宋_GB2312"/>
          <w:b/>
          <w:bCs/>
          <w:sz w:val="32"/>
          <w:szCs w:val="32"/>
          <w:lang w:val="en-US" w:eastAsia="zh-CN"/>
        </w:rPr>
      </w:pPr>
      <w:r>
        <w:rPr>
          <w:rFonts w:hint="eastAsia" w:ascii="仿宋_GB2312" w:hAnsi="宋体" w:eastAsia="仿宋_GB2312"/>
          <w:b/>
          <w:bCs/>
          <w:sz w:val="32"/>
          <w:szCs w:val="32"/>
        </w:rPr>
        <w:t>注：</w:t>
      </w:r>
      <w:r>
        <w:rPr>
          <w:rFonts w:hint="eastAsia" w:ascii="仿宋_GB2312" w:hAnsi="宋体" w:eastAsia="仿宋_GB2312"/>
          <w:b/>
          <w:bCs/>
          <w:sz w:val="32"/>
          <w:szCs w:val="32"/>
          <w:lang w:val="en-US" w:eastAsia="zh-CN"/>
        </w:rPr>
        <w:t>成交当天，竞得人需持单位公章及以上材料一式两份到交易中心签订《成交确认书》（材料模板详见公告附件）</w:t>
      </w:r>
    </w:p>
    <w:p>
      <w:pPr>
        <w:keepNext w:val="0"/>
        <w:keepLines w:val="0"/>
        <w:pageBreakBefore w:val="0"/>
        <w:widowControl w:val="0"/>
        <w:kinsoku/>
        <w:wordWrap w:val="0"/>
        <w:overflowPunct/>
        <w:topLinePunct w:val="0"/>
        <w:autoSpaceDE/>
        <w:autoSpaceDN/>
        <w:bidi w:val="0"/>
        <w:adjustRightInd/>
        <w:snapToGrid/>
        <w:spacing w:before="156" w:beforeLines="50" w:after="156" w:afterLines="50" w:line="520" w:lineRule="exact"/>
        <w:ind w:firstLine="640" w:firstLineChars="200"/>
        <w:textAlignment w:val="auto"/>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 xml:space="preserve">（四）资格审查 </w:t>
      </w:r>
    </w:p>
    <w:p>
      <w:pPr>
        <w:keepNext w:val="0"/>
        <w:keepLines w:val="0"/>
        <w:pageBreakBefore w:val="0"/>
        <w:widowControl w:val="0"/>
        <w:kinsoku/>
        <w:wordWrap w:val="0"/>
        <w:overflowPunct/>
        <w:topLinePunct w:val="0"/>
        <w:autoSpaceDE/>
        <w:autoSpaceDN/>
        <w:bidi w:val="0"/>
        <w:adjustRightInd/>
        <w:snapToGrid/>
        <w:spacing w:before="156" w:beforeLines="50" w:after="156" w:afterLines="50" w:line="520" w:lineRule="exact"/>
        <w:ind w:firstLine="640" w:firstLineChars="200"/>
        <w:textAlignment w:val="auto"/>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竞买人在挂牌出让公告规定的时间内交纳竞买保证金且并进行报名申请，由出让人进行资格审查。</w:t>
      </w:r>
    </w:p>
    <w:p>
      <w:pPr>
        <w:keepNext w:val="0"/>
        <w:keepLines w:val="0"/>
        <w:pageBreakBefore w:val="0"/>
        <w:widowControl w:val="0"/>
        <w:kinsoku/>
        <w:wordWrap w:val="0"/>
        <w:overflowPunct/>
        <w:topLinePunct w:val="0"/>
        <w:autoSpaceDE/>
        <w:autoSpaceDN/>
        <w:bidi w:val="0"/>
        <w:adjustRightInd/>
        <w:snapToGrid/>
        <w:spacing w:before="156" w:beforeLines="50" w:after="156" w:afterLines="50" w:line="520" w:lineRule="exact"/>
        <w:ind w:firstLine="640" w:firstLineChars="200"/>
        <w:textAlignment w:val="auto"/>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 xml:space="preserve">（五）确认竞买人资格 </w:t>
      </w:r>
    </w:p>
    <w:p>
      <w:pPr>
        <w:keepNext w:val="0"/>
        <w:keepLines w:val="0"/>
        <w:pageBreakBefore w:val="0"/>
        <w:widowControl w:val="0"/>
        <w:kinsoku/>
        <w:wordWrap w:val="0"/>
        <w:overflowPunct/>
        <w:topLinePunct w:val="0"/>
        <w:autoSpaceDE/>
        <w:autoSpaceDN/>
        <w:bidi w:val="0"/>
        <w:adjustRightInd/>
        <w:snapToGrid/>
        <w:spacing w:before="156" w:beforeLines="50" w:after="156" w:afterLines="50" w:line="520" w:lineRule="exact"/>
        <w:ind w:firstLine="640" w:firstLineChars="200"/>
        <w:textAlignment w:val="auto"/>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 xml:space="preserve">出让人对竞买资格审查通过后，交易中心给予确认竞买人资格，竞买人方能进行竞买。 </w:t>
      </w:r>
    </w:p>
    <w:p>
      <w:pPr>
        <w:keepNext w:val="0"/>
        <w:keepLines w:val="0"/>
        <w:pageBreakBefore w:val="0"/>
        <w:widowControl w:val="0"/>
        <w:kinsoku/>
        <w:wordWrap w:val="0"/>
        <w:overflowPunct/>
        <w:topLinePunct w:val="0"/>
        <w:autoSpaceDE/>
        <w:autoSpaceDN/>
        <w:bidi w:val="0"/>
        <w:adjustRightInd/>
        <w:snapToGrid/>
        <w:spacing w:before="156" w:beforeLines="50" w:after="156" w:afterLines="50" w:line="520" w:lineRule="exact"/>
        <w:ind w:firstLine="640" w:firstLineChars="200"/>
        <w:textAlignment w:val="auto"/>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 xml:space="preserve">（六）挂牌竞价 </w:t>
      </w:r>
    </w:p>
    <w:p>
      <w:pPr>
        <w:keepNext w:val="0"/>
        <w:keepLines w:val="0"/>
        <w:pageBreakBefore w:val="0"/>
        <w:widowControl w:val="0"/>
        <w:kinsoku/>
        <w:wordWrap w:val="0"/>
        <w:overflowPunct/>
        <w:topLinePunct w:val="0"/>
        <w:autoSpaceDE/>
        <w:autoSpaceDN/>
        <w:bidi w:val="0"/>
        <w:adjustRightInd/>
        <w:snapToGrid/>
        <w:spacing w:before="156" w:beforeLines="50" w:after="156" w:afterLines="50" w:line="520" w:lineRule="exact"/>
        <w:ind w:firstLine="640" w:firstLineChars="200"/>
        <w:textAlignment w:val="auto"/>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 xml:space="preserve">凡报名成功按时交纳竞买保证金并通过网上交易系统获取竞买资格的申请人可进行网上挂牌报价。竞买申请人可在竞价询问期内（具体由竞买人登入网上交易系统查看）决定是否参与延时竞价。 </w:t>
      </w:r>
    </w:p>
    <w:p>
      <w:pPr>
        <w:keepNext w:val="0"/>
        <w:keepLines w:val="0"/>
        <w:pageBreakBefore w:val="0"/>
        <w:widowControl w:val="0"/>
        <w:numPr>
          <w:ilvl w:val="0"/>
          <w:numId w:val="1"/>
        </w:numPr>
        <w:kinsoku/>
        <w:wordWrap w:val="0"/>
        <w:overflowPunct/>
        <w:topLinePunct w:val="0"/>
        <w:autoSpaceDE/>
        <w:autoSpaceDN/>
        <w:bidi w:val="0"/>
        <w:adjustRightInd/>
        <w:snapToGrid/>
        <w:spacing w:before="156" w:beforeLines="50" w:after="156" w:afterLines="50" w:line="520" w:lineRule="exact"/>
        <w:ind w:firstLine="640" w:firstLineChars="200"/>
        <w:textAlignment w:val="auto"/>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成交当日确定竞得人后，竞得人需持扫描上传网上交易系统的材料原件到贵港市公共资源交易中心签订《成交确认书》并领取交易服务费《缴款通知》</w:t>
      </w:r>
    </w:p>
    <w:p>
      <w:pPr>
        <w:spacing w:before="156" w:beforeLines="50" w:after="156" w:afterLines="50" w:line="520" w:lineRule="exact"/>
        <w:ind w:firstLine="643" w:firstLineChars="200"/>
        <w:rPr>
          <w:rFonts w:hint="eastAsia" w:ascii="仿宋_GB2312" w:hAnsi="仿宋" w:eastAsia="仿宋_GB2312"/>
          <w:b/>
          <w:bCs/>
          <w:sz w:val="32"/>
          <w:szCs w:val="32"/>
          <w:lang w:val="en-US" w:eastAsia="zh-CN"/>
        </w:rPr>
      </w:pPr>
      <w:r>
        <w:rPr>
          <w:rFonts w:hint="eastAsia" w:ascii="仿宋_GB2312" w:hAnsi="仿宋" w:eastAsia="仿宋_GB2312"/>
          <w:b/>
          <w:bCs/>
          <w:sz w:val="32"/>
          <w:szCs w:val="32"/>
          <w:lang w:val="en-US" w:eastAsia="zh-CN"/>
        </w:rPr>
        <w:t xml:space="preserve">三、报价规则 </w:t>
      </w:r>
    </w:p>
    <w:p>
      <w:pPr>
        <w:keepNext w:val="0"/>
        <w:keepLines w:val="0"/>
        <w:pageBreakBefore w:val="0"/>
        <w:widowControl w:val="0"/>
        <w:kinsoku/>
        <w:wordWrap w:val="0"/>
        <w:overflowPunct/>
        <w:topLinePunct w:val="0"/>
        <w:autoSpaceDE/>
        <w:autoSpaceDN/>
        <w:bidi w:val="0"/>
        <w:adjustRightInd/>
        <w:snapToGrid/>
        <w:spacing w:line="520" w:lineRule="exact"/>
        <w:ind w:firstLine="620" w:firstLineChars="200"/>
        <w:textAlignment w:val="auto"/>
        <w:rPr>
          <w:rFonts w:hint="eastAsia" w:ascii="仿宋_GB2312" w:hAnsi="宋体" w:eastAsia="仿宋_GB2312"/>
          <w:sz w:val="32"/>
          <w:szCs w:val="32"/>
          <w:lang w:val="en-US" w:eastAsia="zh-CN"/>
        </w:rPr>
      </w:pPr>
      <w:r>
        <w:rPr>
          <w:rFonts w:hint="eastAsia" w:ascii="仿宋" w:hAnsi="仿宋" w:eastAsia="仿宋" w:cs="仿宋"/>
          <w:color w:val="000000"/>
          <w:kern w:val="0"/>
          <w:sz w:val="31"/>
          <w:szCs w:val="31"/>
          <w:lang w:val="en-US" w:eastAsia="zh-CN" w:bidi="ar"/>
        </w:rPr>
        <w:t>（</w:t>
      </w:r>
      <w:r>
        <w:rPr>
          <w:rFonts w:hint="eastAsia" w:ascii="仿宋_GB2312" w:hAnsi="宋体" w:eastAsia="仿宋_GB2312"/>
          <w:sz w:val="32"/>
          <w:szCs w:val="32"/>
          <w:lang w:val="en-US" w:eastAsia="zh-CN"/>
        </w:rPr>
        <w:t>一）实行有底价的公开挂牌出让，即挂牌公布起始价后， 由竞买人出价，出价最高且不低于挂牌底价者取得土地使用权。</w:t>
      </w:r>
    </w:p>
    <w:p>
      <w:pPr>
        <w:keepNext w:val="0"/>
        <w:keepLines w:val="0"/>
        <w:pageBreakBefore w:val="0"/>
        <w:widowControl w:val="0"/>
        <w:kinsoku/>
        <w:wordWrap w:val="0"/>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 xml:space="preserve">（二）本次挂牌以增价方式进行报价。 </w:t>
      </w:r>
    </w:p>
    <w:p>
      <w:pPr>
        <w:keepNext w:val="0"/>
        <w:keepLines w:val="0"/>
        <w:pageBreakBefore w:val="0"/>
        <w:widowControl w:val="0"/>
        <w:kinsoku/>
        <w:wordWrap w:val="0"/>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 xml:space="preserve">（三）竞买人在挂牌期限内通过网上交易系统进行报价， </w:t>
      </w:r>
    </w:p>
    <w:p>
      <w:pPr>
        <w:keepNext w:val="0"/>
        <w:keepLines w:val="0"/>
        <w:pageBreakBefore w:val="0"/>
        <w:widowControl w:val="0"/>
        <w:kinsoku/>
        <w:wordWrap w:val="0"/>
        <w:overflowPunct/>
        <w:topLinePunct w:val="0"/>
        <w:autoSpaceDE/>
        <w:autoSpaceDN/>
        <w:bidi w:val="0"/>
        <w:adjustRightInd/>
        <w:snapToGrid/>
        <w:spacing w:line="520" w:lineRule="exact"/>
        <w:textAlignment w:val="auto"/>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 xml:space="preserve">一经报出，不得撤回。 </w:t>
      </w:r>
    </w:p>
    <w:p>
      <w:pPr>
        <w:numPr>
          <w:ilvl w:val="0"/>
          <w:numId w:val="0"/>
        </w:numPr>
        <w:spacing w:line="500" w:lineRule="exact"/>
        <w:ind w:firstLine="640" w:firstLineChars="200"/>
        <w:rPr>
          <w:rFonts w:hint="eastAsia" w:ascii="仿宋_GB2312" w:hAnsi="宋体" w:eastAsia="仿宋_GB2312"/>
          <w:sz w:val="32"/>
          <w:szCs w:val="32"/>
          <w:lang w:val="en-US" w:eastAsia="zh-CN"/>
        </w:rPr>
      </w:pPr>
      <w:r>
        <w:rPr>
          <w:rFonts w:hint="eastAsia" w:ascii="仿宋_GB2312" w:hAnsi="宋体" w:eastAsia="仿宋_GB2312" w:cs="Times New Roman"/>
          <w:kern w:val="2"/>
          <w:sz w:val="32"/>
          <w:szCs w:val="32"/>
          <w:lang w:val="en-US" w:eastAsia="zh-CN" w:bidi="ar-SA"/>
        </w:rPr>
        <w:t>（四）</w:t>
      </w:r>
      <w:r>
        <w:rPr>
          <w:rFonts w:hint="eastAsia" w:ascii="仿宋_GB2312" w:hAnsi="宋体" w:eastAsia="仿宋_GB2312"/>
          <w:sz w:val="32"/>
          <w:szCs w:val="32"/>
          <w:lang w:val="en-US" w:eastAsia="zh-CN"/>
        </w:rPr>
        <w:t>在报价期间，竞买人可多次报价。</w:t>
      </w:r>
    </w:p>
    <w:p>
      <w:pPr>
        <w:spacing w:before="156" w:beforeLines="50" w:after="156" w:afterLines="50" w:line="520" w:lineRule="exact"/>
        <w:ind w:firstLine="643" w:firstLineChars="200"/>
        <w:rPr>
          <w:rFonts w:hint="eastAsia" w:ascii="仿宋_GB2312" w:hAnsi="仿宋" w:eastAsia="仿宋_GB2312"/>
          <w:b/>
          <w:bCs/>
          <w:sz w:val="32"/>
          <w:szCs w:val="32"/>
          <w:lang w:val="en-US" w:eastAsia="zh-CN"/>
        </w:rPr>
      </w:pPr>
      <w:r>
        <w:rPr>
          <w:rFonts w:hint="eastAsia" w:ascii="仿宋_GB2312" w:hAnsi="仿宋" w:eastAsia="仿宋_GB2312"/>
          <w:b/>
          <w:bCs/>
          <w:sz w:val="32"/>
          <w:szCs w:val="32"/>
          <w:lang w:val="en-US" w:eastAsia="zh-CN"/>
        </w:rPr>
        <w:t xml:space="preserve">四、注意事项 </w:t>
      </w:r>
    </w:p>
    <w:p>
      <w:pPr>
        <w:keepNext w:val="0"/>
        <w:keepLines w:val="0"/>
        <w:pageBreakBefore w:val="0"/>
        <w:widowControl w:val="0"/>
        <w:kinsoku/>
        <w:wordWrap w:val="0"/>
        <w:overflowPunct/>
        <w:topLinePunct w:val="0"/>
        <w:autoSpaceDE/>
        <w:autoSpaceDN/>
        <w:bidi w:val="0"/>
        <w:adjustRightInd/>
        <w:snapToGrid/>
        <w:spacing w:before="156" w:beforeLines="50" w:after="156" w:afterLines="50" w:line="520" w:lineRule="exact"/>
        <w:ind w:firstLine="640" w:firstLineChars="200"/>
        <w:textAlignment w:val="auto"/>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 xml:space="preserve">（一）CA 数字证书作为登录网上交易系统的身份凭证，凡在网上交易平台系统上以竞买人的 CA 数字证书和密码登录进行的操作，均被视为竞买人本人的行为，竞买人应当对以其 CA数字证书进行的所有活动负法律责任。 </w:t>
      </w:r>
    </w:p>
    <w:p>
      <w:pPr>
        <w:keepNext w:val="0"/>
        <w:keepLines w:val="0"/>
        <w:pageBreakBefore w:val="0"/>
        <w:widowControl w:val="0"/>
        <w:kinsoku/>
        <w:wordWrap w:val="0"/>
        <w:overflowPunct/>
        <w:topLinePunct w:val="0"/>
        <w:autoSpaceDE/>
        <w:autoSpaceDN/>
        <w:bidi w:val="0"/>
        <w:adjustRightInd/>
        <w:snapToGrid/>
        <w:spacing w:before="156" w:beforeLines="50" w:after="156" w:afterLines="50" w:line="520" w:lineRule="exact"/>
        <w:ind w:firstLine="640" w:firstLineChars="200"/>
        <w:textAlignment w:val="auto"/>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 xml:space="preserve">（二）竞买人申请竞买应遵守网上交易系统设定的交易规则，因竞买人如下行为产生的一切后果，由竞买人承担： </w:t>
      </w:r>
    </w:p>
    <w:p>
      <w:pPr>
        <w:keepNext w:val="0"/>
        <w:keepLines w:val="0"/>
        <w:pageBreakBefore w:val="0"/>
        <w:widowControl w:val="0"/>
        <w:kinsoku/>
        <w:wordWrap w:val="0"/>
        <w:overflowPunct/>
        <w:topLinePunct w:val="0"/>
        <w:autoSpaceDE/>
        <w:autoSpaceDN/>
        <w:bidi w:val="0"/>
        <w:adjustRightInd/>
        <w:snapToGrid/>
        <w:spacing w:before="156" w:beforeLines="50" w:after="156" w:afterLines="50" w:line="520" w:lineRule="exact"/>
        <w:ind w:firstLine="640" w:firstLineChars="200"/>
        <w:textAlignment w:val="auto"/>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 xml:space="preserve">1、未及时登录网上交易系统、未及时关注相关竞价信息、未及时出价等导致没有参加竞价活动的； </w:t>
      </w:r>
    </w:p>
    <w:p>
      <w:pPr>
        <w:keepNext w:val="0"/>
        <w:keepLines w:val="0"/>
        <w:pageBreakBefore w:val="0"/>
        <w:widowControl w:val="0"/>
        <w:kinsoku/>
        <w:wordWrap w:val="0"/>
        <w:overflowPunct/>
        <w:topLinePunct w:val="0"/>
        <w:autoSpaceDE/>
        <w:autoSpaceDN/>
        <w:bidi w:val="0"/>
        <w:adjustRightInd/>
        <w:snapToGrid/>
        <w:spacing w:before="156" w:beforeLines="50" w:after="156" w:afterLines="50" w:line="520" w:lineRule="exact"/>
        <w:ind w:firstLine="640" w:firstLineChars="200"/>
        <w:textAlignment w:val="auto"/>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 xml:space="preserve">2、由于竞买人自身的终端设备和网络异常或操作不当等原因导致无法正常出价的； </w:t>
      </w:r>
    </w:p>
    <w:p>
      <w:pPr>
        <w:keepNext w:val="0"/>
        <w:keepLines w:val="0"/>
        <w:pageBreakBefore w:val="0"/>
        <w:widowControl w:val="0"/>
        <w:kinsoku/>
        <w:wordWrap w:val="0"/>
        <w:overflowPunct/>
        <w:topLinePunct w:val="0"/>
        <w:autoSpaceDE/>
        <w:autoSpaceDN/>
        <w:bidi w:val="0"/>
        <w:adjustRightInd/>
        <w:snapToGrid/>
        <w:spacing w:before="156" w:beforeLines="50" w:after="156" w:afterLines="50" w:line="520" w:lineRule="exact"/>
        <w:ind w:firstLine="640" w:firstLineChars="200"/>
        <w:textAlignment w:val="auto"/>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3、网络竞价的时间以网上交易系统服务器时间为准，由于竞买人自身终端设备时间与网上交易系统服务器时间不符而导致未能及时参与竞价的 。</w:t>
      </w:r>
    </w:p>
    <w:p>
      <w:pPr>
        <w:spacing w:line="520" w:lineRule="exact"/>
        <w:ind w:firstLine="643" w:firstLineChars="200"/>
        <w:rPr>
          <w:rFonts w:ascii="仿宋_GB2312" w:hAnsi="宋体" w:eastAsia="仿宋_GB2312"/>
          <w:b/>
          <w:sz w:val="32"/>
          <w:szCs w:val="32"/>
          <w:highlight w:val="none"/>
        </w:rPr>
      </w:pPr>
      <w:r>
        <w:rPr>
          <w:rFonts w:hint="eastAsia" w:ascii="仿宋_GB2312" w:hAnsi="宋体" w:eastAsia="仿宋_GB2312"/>
          <w:b/>
          <w:sz w:val="32"/>
          <w:szCs w:val="32"/>
          <w:highlight w:val="none"/>
          <w:lang w:val="en-US" w:eastAsia="zh-CN"/>
        </w:rPr>
        <w:t>五</w:t>
      </w:r>
      <w:r>
        <w:rPr>
          <w:rFonts w:hint="eastAsia" w:ascii="仿宋_GB2312" w:hAnsi="宋体" w:eastAsia="仿宋_GB2312"/>
          <w:b/>
          <w:sz w:val="32"/>
          <w:szCs w:val="32"/>
          <w:highlight w:val="none"/>
        </w:rPr>
        <w:t>、其他相关事项</w:t>
      </w:r>
    </w:p>
    <w:p>
      <w:pPr>
        <w:spacing w:line="520" w:lineRule="exact"/>
        <w:ind w:firstLine="640" w:firstLineChars="200"/>
        <w:rPr>
          <w:rFonts w:ascii="仿宋_GB2312" w:hAnsi="宋体" w:eastAsia="仿宋_GB2312"/>
          <w:sz w:val="32"/>
          <w:szCs w:val="32"/>
        </w:rPr>
      </w:pPr>
      <w:r>
        <w:rPr>
          <w:rFonts w:hint="eastAsia" w:ascii="仿宋_GB2312" w:hAnsi="宋体" w:eastAsia="仿宋_GB2312"/>
          <w:sz w:val="32"/>
          <w:szCs w:val="32"/>
        </w:rPr>
        <w:t>(一)竞买人资格由出让方进行审查,对符合本公告规定条件的,发放竞买资格确认书。</w:t>
      </w:r>
      <w:r>
        <w:rPr>
          <w:rFonts w:hint="eastAsia" w:ascii="仿宋_GB2312" w:hAnsi="宋体" w:eastAsia="仿宋_GB2312"/>
          <w:b/>
          <w:sz w:val="32"/>
          <w:szCs w:val="32"/>
        </w:rPr>
        <w:t>联系电话：0775-4286077。</w:t>
      </w:r>
    </w:p>
    <w:p>
      <w:pPr>
        <w:spacing w:line="520" w:lineRule="exact"/>
        <w:ind w:firstLine="640" w:firstLineChars="200"/>
        <w:rPr>
          <w:rFonts w:ascii="仿宋_GB2312" w:hAnsi="宋体" w:eastAsia="仿宋_GB2312"/>
          <w:b/>
          <w:sz w:val="32"/>
          <w:szCs w:val="32"/>
        </w:rPr>
      </w:pPr>
      <w:r>
        <w:rPr>
          <w:rFonts w:hint="eastAsia" w:ascii="仿宋_GB2312" w:hAnsi="宋体" w:eastAsia="仿宋_GB2312"/>
          <w:sz w:val="32"/>
          <w:szCs w:val="32"/>
        </w:rPr>
        <w:t>(</w:t>
      </w:r>
      <w:r>
        <w:rPr>
          <w:rFonts w:hint="eastAsia" w:ascii="仿宋_GB2312" w:hAnsi="宋体" w:eastAsia="仿宋_GB2312"/>
          <w:sz w:val="32"/>
          <w:szCs w:val="32"/>
          <w:lang w:val="en-US" w:eastAsia="zh-CN"/>
        </w:rPr>
        <w:t>二</w:t>
      </w:r>
      <w:r>
        <w:rPr>
          <w:rFonts w:hint="eastAsia" w:ascii="仿宋_GB2312" w:hAnsi="宋体" w:eastAsia="仿宋_GB2312"/>
          <w:sz w:val="32"/>
          <w:szCs w:val="32"/>
        </w:rPr>
        <w:t>)保证金需在挂牌报名时间内足额缴纳到指定账户，保证金缴纳凭证由</w:t>
      </w:r>
      <w:r>
        <w:rPr>
          <w:rFonts w:hint="eastAsia" w:ascii="仿宋_GB2312" w:hAnsi="宋体" w:eastAsia="仿宋_GB2312"/>
          <w:sz w:val="32"/>
          <w:szCs w:val="32"/>
          <w:lang w:val="en-US" w:eastAsia="zh-CN"/>
        </w:rPr>
        <w:t>贵港市公共资源交易中心</w:t>
      </w:r>
      <w:r>
        <w:rPr>
          <w:rFonts w:hint="eastAsia" w:ascii="仿宋_GB2312" w:hAnsi="宋体" w:eastAsia="仿宋_GB2312"/>
          <w:sz w:val="32"/>
          <w:szCs w:val="32"/>
        </w:rPr>
        <w:t>出具，</w:t>
      </w:r>
      <w:r>
        <w:rPr>
          <w:rFonts w:hint="eastAsia" w:ascii="仿宋_GB2312" w:hAnsi="宋体" w:eastAsia="仿宋_GB2312"/>
          <w:b/>
          <w:sz w:val="32"/>
          <w:szCs w:val="32"/>
        </w:rPr>
        <w:t>联系电话：0775-4552102。</w:t>
      </w:r>
    </w:p>
    <w:p>
      <w:pPr>
        <w:spacing w:line="520" w:lineRule="exact"/>
        <w:ind w:firstLine="640" w:firstLineChars="200"/>
        <w:rPr>
          <w:rFonts w:ascii="仿宋_GB2312" w:hAnsi="宋体" w:eastAsia="仿宋_GB2312"/>
          <w:sz w:val="32"/>
          <w:szCs w:val="32"/>
        </w:rPr>
      </w:pPr>
      <w:r>
        <w:rPr>
          <w:rFonts w:hint="eastAsia" w:ascii="仿宋_GB2312" w:hAnsi="宋体" w:eastAsia="仿宋_GB2312"/>
          <w:sz w:val="32"/>
          <w:szCs w:val="32"/>
        </w:rPr>
        <w:t>(</w:t>
      </w:r>
      <w:r>
        <w:rPr>
          <w:rFonts w:hint="eastAsia" w:ascii="仿宋_GB2312" w:hAnsi="宋体" w:eastAsia="仿宋_GB2312"/>
          <w:sz w:val="32"/>
          <w:szCs w:val="32"/>
          <w:lang w:val="en-US" w:eastAsia="zh-CN"/>
        </w:rPr>
        <w:t>三</w:t>
      </w:r>
      <w:r>
        <w:rPr>
          <w:rFonts w:hint="eastAsia" w:ascii="仿宋_GB2312" w:hAnsi="宋体" w:eastAsia="仿宋_GB2312"/>
          <w:sz w:val="32"/>
          <w:szCs w:val="32"/>
        </w:rPr>
        <w:t>)未竞得人所交纳的竞买保证金,在挂牌活动结束后5个工作日内退还,不计利息。</w:t>
      </w:r>
    </w:p>
    <w:p>
      <w:pPr>
        <w:spacing w:line="520" w:lineRule="exact"/>
        <w:ind w:firstLine="640" w:firstLineChars="200"/>
        <w:rPr>
          <w:rFonts w:hint="eastAsia" w:ascii="仿宋_GB2312" w:hAnsi="宋体" w:eastAsia="仿宋_GB2312"/>
          <w:b/>
          <w:sz w:val="32"/>
          <w:szCs w:val="32"/>
          <w:lang w:val="en-US" w:eastAsia="zh-CN"/>
        </w:rPr>
      </w:pPr>
      <w:r>
        <w:rPr>
          <w:rFonts w:hint="eastAsia" w:ascii="仿宋_GB2312" w:hAnsi="宋体" w:eastAsia="仿宋_GB2312"/>
          <w:sz w:val="32"/>
          <w:szCs w:val="32"/>
        </w:rPr>
        <w:t>(</w:t>
      </w:r>
      <w:r>
        <w:rPr>
          <w:rFonts w:hint="eastAsia" w:ascii="仿宋_GB2312" w:hAnsi="宋体" w:eastAsia="仿宋_GB2312"/>
          <w:sz w:val="32"/>
          <w:szCs w:val="32"/>
          <w:lang w:val="en-US" w:eastAsia="zh-CN"/>
        </w:rPr>
        <w:t>四</w:t>
      </w:r>
      <w:r>
        <w:rPr>
          <w:rFonts w:hint="eastAsia" w:ascii="仿宋_GB2312" w:hAnsi="宋体" w:eastAsia="仿宋_GB2312"/>
          <w:sz w:val="32"/>
          <w:szCs w:val="32"/>
        </w:rPr>
        <w:t>)竞买申请人可在挂牌报名截止时间前（工作日内）到贵港市公共资源交易中心现场索取宗地出让文件。</w:t>
      </w:r>
    </w:p>
    <w:p>
      <w:pPr>
        <w:spacing w:line="500" w:lineRule="exact"/>
        <w:ind w:firstLine="643" w:firstLineChars="200"/>
        <w:rPr>
          <w:rFonts w:ascii="仿宋_GB2312" w:hAnsi="仿宋" w:eastAsia="仿宋_GB2312"/>
          <w:sz w:val="32"/>
          <w:szCs w:val="32"/>
        </w:rPr>
      </w:pPr>
      <w:r>
        <w:rPr>
          <w:rFonts w:hint="eastAsia" w:ascii="仿宋_GB2312" w:hAnsi="仿宋" w:eastAsia="仿宋_GB2312"/>
          <w:b/>
          <w:bCs/>
          <w:sz w:val="32"/>
          <w:szCs w:val="32"/>
          <w:lang w:val="en-US" w:eastAsia="zh-CN"/>
        </w:rPr>
        <w:t>六、</w:t>
      </w:r>
      <w:r>
        <w:rPr>
          <w:rFonts w:hint="eastAsia" w:ascii="仿宋_GB2312" w:hAnsi="仿宋" w:eastAsia="仿宋_GB2312"/>
          <w:sz w:val="32"/>
          <w:szCs w:val="32"/>
        </w:rPr>
        <w:t>竞得人在签订《国有建设用地使用权出让合同》之日起30日内在竞得宗地现场设置《建设项目用地信息公示牌》，公示牌规格不小于200</w:t>
      </w:r>
      <w:r>
        <w:rPr>
          <w:rFonts w:hint="eastAsia" w:ascii="仿宋_GB2312" w:hAnsi="仿宋" w:eastAsia="仿宋"/>
          <w:sz w:val="32"/>
          <w:szCs w:val="32"/>
        </w:rPr>
        <w:t>㎝</w:t>
      </w:r>
      <w:r>
        <w:rPr>
          <w:rFonts w:hint="eastAsia" w:ascii="仿宋_GB2312" w:hAnsi="仿宋" w:eastAsia="仿宋_GB2312"/>
          <w:sz w:val="32"/>
          <w:szCs w:val="32"/>
        </w:rPr>
        <w:t>×150</w:t>
      </w:r>
      <w:r>
        <w:rPr>
          <w:rFonts w:hint="eastAsia" w:ascii="仿宋_GB2312" w:hAnsi="仿宋" w:eastAsia="仿宋"/>
          <w:sz w:val="32"/>
          <w:szCs w:val="32"/>
        </w:rPr>
        <w:t>㎝</w:t>
      </w:r>
      <w:r>
        <w:rPr>
          <w:rFonts w:hint="eastAsia" w:ascii="仿宋_GB2312" w:hAnsi="仿宋" w:eastAsia="仿宋_GB2312"/>
          <w:sz w:val="32"/>
          <w:szCs w:val="32"/>
        </w:rPr>
        <w:t>，公示信息详见附件。</w:t>
      </w:r>
    </w:p>
    <w:p>
      <w:pPr>
        <w:spacing w:line="500" w:lineRule="exact"/>
        <w:ind w:firstLine="643" w:firstLineChars="200"/>
        <w:rPr>
          <w:rFonts w:ascii="仿宋_GB2312" w:hAnsi="仿宋" w:eastAsia="仿宋_GB2312"/>
          <w:sz w:val="32"/>
          <w:szCs w:val="32"/>
        </w:rPr>
      </w:pPr>
      <w:r>
        <w:rPr>
          <w:rFonts w:hint="eastAsia" w:ascii="仿宋_GB2312" w:hAnsi="仿宋" w:eastAsia="仿宋_GB2312"/>
          <w:b/>
          <w:bCs/>
          <w:sz w:val="32"/>
          <w:szCs w:val="32"/>
          <w:lang w:val="en-US" w:eastAsia="zh-CN"/>
        </w:rPr>
        <w:t>七、</w:t>
      </w:r>
      <w:r>
        <w:rPr>
          <w:rFonts w:hint="eastAsia" w:ascii="仿宋_GB2312" w:hAnsi="仿宋" w:eastAsia="仿宋_GB2312"/>
          <w:sz w:val="32"/>
          <w:szCs w:val="32"/>
        </w:rPr>
        <w:t>本挂牌须知与贵公交告</w:t>
      </w:r>
      <w:r>
        <w:rPr>
          <w:rFonts w:hint="eastAsia" w:ascii="仿宋_GB2312" w:hAnsi="仿宋" w:eastAsia="仿宋_GB2312"/>
          <w:spacing w:val="-20"/>
          <w:sz w:val="32"/>
          <w:szCs w:val="32"/>
        </w:rPr>
        <w:t>〔202</w:t>
      </w:r>
      <w:r>
        <w:rPr>
          <w:rFonts w:hint="eastAsia" w:ascii="仿宋_GB2312" w:hAnsi="仿宋" w:eastAsia="仿宋_GB2312"/>
          <w:spacing w:val="-20"/>
          <w:sz w:val="32"/>
          <w:szCs w:val="32"/>
          <w:lang w:val="en-US" w:eastAsia="zh-CN"/>
        </w:rPr>
        <w:t>5</w:t>
      </w:r>
      <w:r>
        <w:rPr>
          <w:rFonts w:hint="eastAsia" w:ascii="仿宋_GB2312" w:hAnsi="仿宋" w:eastAsia="仿宋_GB2312"/>
          <w:spacing w:val="-20"/>
          <w:sz w:val="32"/>
          <w:szCs w:val="32"/>
        </w:rPr>
        <w:t>〕</w:t>
      </w:r>
      <w:r>
        <w:rPr>
          <w:rFonts w:hint="eastAsia" w:ascii="仿宋_GB2312" w:hAnsi="仿宋" w:eastAsia="仿宋_GB2312"/>
          <w:spacing w:val="-20"/>
          <w:sz w:val="32"/>
          <w:szCs w:val="32"/>
          <w:lang w:val="en-US" w:eastAsia="zh-CN"/>
        </w:rPr>
        <w:t>1</w:t>
      </w:r>
      <w:r>
        <w:rPr>
          <w:rFonts w:hint="eastAsia" w:ascii="仿宋_GB2312" w:hAnsi="仿宋" w:eastAsia="仿宋_GB2312"/>
          <w:spacing w:val="-20"/>
          <w:sz w:val="32"/>
          <w:szCs w:val="32"/>
        </w:rPr>
        <w:t>号</w:t>
      </w:r>
      <w:r>
        <w:rPr>
          <w:rFonts w:hint="eastAsia" w:ascii="仿宋_GB2312" w:hAnsi="仿宋" w:eastAsia="仿宋_GB2312"/>
          <w:sz w:val="32"/>
          <w:szCs w:val="32"/>
        </w:rPr>
        <w:t>挂牌公告具有同等法律效力。</w:t>
      </w:r>
    </w:p>
    <w:p>
      <w:pPr>
        <w:spacing w:line="500" w:lineRule="exact"/>
        <w:ind w:firstLine="640" w:firstLineChars="200"/>
        <w:rPr>
          <w:rFonts w:ascii="仿宋_GB2312" w:hAnsi="仿宋" w:eastAsia="仿宋_GB2312"/>
          <w:sz w:val="32"/>
          <w:szCs w:val="32"/>
        </w:rPr>
      </w:pPr>
      <w:r>
        <w:rPr>
          <w:rFonts w:hint="eastAsia" w:ascii="仿宋_GB2312" w:hAnsi="仿宋" w:eastAsia="仿宋_GB2312"/>
          <w:sz w:val="32"/>
          <w:szCs w:val="32"/>
        </w:rPr>
        <w:t>附件：建设项目用地信息公示牌</w:t>
      </w:r>
    </w:p>
    <w:p>
      <w:pPr>
        <w:spacing w:line="500" w:lineRule="exact"/>
        <w:rPr>
          <w:rFonts w:ascii="仿宋_GB2312" w:hAnsi="仿宋" w:eastAsia="仿宋_GB2312"/>
          <w:sz w:val="32"/>
          <w:szCs w:val="32"/>
        </w:rPr>
      </w:pPr>
    </w:p>
    <w:p>
      <w:pPr>
        <w:spacing w:line="500" w:lineRule="exact"/>
        <w:ind w:firstLine="640" w:firstLineChars="200"/>
        <w:rPr>
          <w:rFonts w:ascii="仿宋_GB2312" w:hAnsi="仿宋" w:eastAsia="仿宋_GB2312"/>
          <w:sz w:val="32"/>
          <w:szCs w:val="32"/>
        </w:rPr>
      </w:pPr>
    </w:p>
    <w:p>
      <w:pPr>
        <w:spacing w:line="500" w:lineRule="exact"/>
        <w:ind w:firstLine="4800" w:firstLineChars="1500"/>
        <w:rPr>
          <w:rFonts w:ascii="仿宋_GB2312" w:hAnsi="仿宋" w:eastAsia="仿宋_GB2312"/>
          <w:sz w:val="32"/>
          <w:szCs w:val="32"/>
        </w:rPr>
      </w:pPr>
    </w:p>
    <w:p>
      <w:pPr>
        <w:spacing w:line="500" w:lineRule="exact"/>
        <w:ind w:firstLine="4800" w:firstLineChars="1500"/>
        <w:rPr>
          <w:rFonts w:ascii="仿宋_GB2312" w:hAnsi="仿宋" w:eastAsia="仿宋_GB2312"/>
          <w:sz w:val="32"/>
          <w:szCs w:val="32"/>
        </w:rPr>
      </w:pPr>
    </w:p>
    <w:p>
      <w:pPr>
        <w:spacing w:line="500" w:lineRule="exact"/>
        <w:ind w:firstLine="4800" w:firstLineChars="1500"/>
        <w:rPr>
          <w:rFonts w:ascii="仿宋_GB2312" w:hAnsi="仿宋" w:eastAsia="仿宋_GB2312"/>
          <w:sz w:val="32"/>
          <w:szCs w:val="32"/>
        </w:rPr>
      </w:pPr>
      <w:r>
        <w:rPr>
          <w:rFonts w:hint="eastAsia" w:ascii="仿宋_GB2312" w:hAnsi="仿宋" w:eastAsia="仿宋_GB2312"/>
          <w:sz w:val="32"/>
          <w:szCs w:val="32"/>
        </w:rPr>
        <w:t>贵港市公共资源交易中心</w:t>
      </w:r>
    </w:p>
    <w:p>
      <w:pPr>
        <w:spacing w:line="500" w:lineRule="exact"/>
        <w:rPr>
          <w:rFonts w:ascii="仿宋_GB2312" w:hAnsi="仿宋" w:eastAsia="仿宋_GB2312"/>
          <w:sz w:val="32"/>
          <w:szCs w:val="32"/>
        </w:rPr>
      </w:pPr>
      <w:r>
        <w:rPr>
          <w:rFonts w:hint="eastAsia" w:ascii="仿宋_GB2312" w:hAnsi="仿宋" w:eastAsia="仿宋_GB2312"/>
          <w:sz w:val="32"/>
          <w:szCs w:val="32"/>
        </w:rPr>
        <w:t xml:space="preserve">                                 202</w:t>
      </w:r>
      <w:r>
        <w:rPr>
          <w:rFonts w:hint="eastAsia" w:ascii="仿宋_GB2312" w:hAnsi="仿宋" w:eastAsia="仿宋_GB2312"/>
          <w:sz w:val="32"/>
          <w:szCs w:val="32"/>
          <w:lang w:val="en-US" w:eastAsia="zh-CN"/>
        </w:rPr>
        <w:t>5</w:t>
      </w:r>
      <w:r>
        <w:rPr>
          <w:rFonts w:hint="eastAsia" w:ascii="仿宋_GB2312" w:hAnsi="仿宋" w:eastAsia="仿宋_GB2312"/>
          <w:sz w:val="32"/>
          <w:szCs w:val="32"/>
        </w:rPr>
        <w:t>年</w:t>
      </w:r>
      <w:r>
        <w:rPr>
          <w:rFonts w:hint="eastAsia" w:ascii="仿宋_GB2312" w:hAnsi="仿宋" w:eastAsia="仿宋_GB2312"/>
          <w:sz w:val="32"/>
          <w:szCs w:val="32"/>
          <w:lang w:val="en-US" w:eastAsia="zh-CN"/>
        </w:rPr>
        <w:t>1</w:t>
      </w:r>
      <w:r>
        <w:rPr>
          <w:rFonts w:hint="eastAsia" w:ascii="仿宋_GB2312" w:hAnsi="仿宋" w:eastAsia="仿宋_GB2312"/>
          <w:sz w:val="32"/>
          <w:szCs w:val="32"/>
        </w:rPr>
        <w:t>月</w:t>
      </w:r>
      <w:r>
        <w:rPr>
          <w:rFonts w:hint="eastAsia" w:ascii="仿宋_GB2312" w:hAnsi="仿宋" w:eastAsia="仿宋_GB2312"/>
          <w:sz w:val="32"/>
          <w:szCs w:val="32"/>
          <w:lang w:val="en-US" w:eastAsia="zh-CN"/>
        </w:rPr>
        <w:t>23</w:t>
      </w:r>
      <w:bookmarkStart w:id="0" w:name="_GoBack"/>
      <w:bookmarkEnd w:id="0"/>
      <w:r>
        <w:rPr>
          <w:rFonts w:hint="eastAsia" w:ascii="仿宋_GB2312" w:hAnsi="仿宋" w:eastAsia="仿宋_GB2312"/>
          <w:sz w:val="32"/>
          <w:szCs w:val="32"/>
        </w:rPr>
        <w:t>日</w:t>
      </w:r>
    </w:p>
    <w:p>
      <w:pPr>
        <w:rPr>
          <w:rFonts w:ascii="仿宋" w:hAnsi="仿宋" w:eastAsia="仿宋" w:cs="宋体"/>
          <w:b/>
          <w:kern w:val="0"/>
          <w:sz w:val="32"/>
          <w:szCs w:val="32"/>
        </w:rPr>
        <w:sectPr>
          <w:headerReference r:id="rId3" w:type="default"/>
          <w:footerReference r:id="rId4" w:type="default"/>
          <w:pgSz w:w="11906" w:h="16838"/>
          <w:pgMar w:top="1418" w:right="1418" w:bottom="1418" w:left="1701" w:header="851" w:footer="992" w:gutter="0"/>
          <w:cols w:space="720" w:num="1"/>
          <w:docGrid w:type="lines" w:linePitch="312" w:charSpace="0"/>
        </w:sectPr>
      </w:pPr>
    </w:p>
    <w:tbl>
      <w:tblPr>
        <w:tblStyle w:val="5"/>
        <w:tblpPr w:leftFromText="180" w:rightFromText="180" w:vertAnchor="text" w:horzAnchor="margin" w:tblpY="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2160"/>
        <w:gridCol w:w="2520"/>
        <w:gridCol w:w="70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13968" w:type="dxa"/>
            <w:gridSpan w:val="4"/>
            <w:vAlign w:val="center"/>
          </w:tcPr>
          <w:p>
            <w:pPr>
              <w:jc w:val="center"/>
              <w:rPr>
                <w:sz w:val="20"/>
                <w:szCs w:val="20"/>
              </w:rPr>
            </w:pPr>
            <w:r>
              <w:rPr>
                <w:rFonts w:hint="eastAsia" w:ascii="Verdana" w:hAnsi="Verdana" w:cs="宋体"/>
                <w:b/>
                <w:kern w:val="0"/>
                <w:sz w:val="29"/>
                <w:szCs w:val="29"/>
              </w:rPr>
              <w:t>建设项目用地信息公示牌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vMerge w:val="restart"/>
            <w:textDirection w:val="tbRlV"/>
            <w:vAlign w:val="center"/>
          </w:tcPr>
          <w:p>
            <w:pPr>
              <w:spacing w:line="520" w:lineRule="exact"/>
              <w:ind w:left="113" w:right="113"/>
              <w:jc w:val="center"/>
              <w:rPr>
                <w:sz w:val="24"/>
              </w:rPr>
            </w:pPr>
            <w:r>
              <w:rPr>
                <w:rFonts w:hint="eastAsia"/>
                <w:sz w:val="24"/>
              </w:rPr>
              <w:t>建设项目用地基本情况</w:t>
            </w:r>
          </w:p>
        </w:tc>
        <w:tc>
          <w:tcPr>
            <w:tcW w:w="2160" w:type="dxa"/>
            <w:vAlign w:val="center"/>
          </w:tcPr>
          <w:p>
            <w:pPr>
              <w:spacing w:line="520" w:lineRule="exact"/>
              <w:jc w:val="center"/>
              <w:rPr>
                <w:sz w:val="24"/>
              </w:rPr>
            </w:pPr>
            <w:r>
              <w:rPr>
                <w:rFonts w:hint="eastAsia"/>
                <w:sz w:val="24"/>
              </w:rPr>
              <w:t>土地使用权人</w:t>
            </w:r>
          </w:p>
        </w:tc>
        <w:tc>
          <w:tcPr>
            <w:tcW w:w="2520" w:type="dxa"/>
            <w:vAlign w:val="center"/>
          </w:tcPr>
          <w:p>
            <w:pPr>
              <w:jc w:val="left"/>
              <w:rPr>
                <w:sz w:val="20"/>
                <w:szCs w:val="20"/>
              </w:rPr>
            </w:pPr>
          </w:p>
        </w:tc>
        <w:tc>
          <w:tcPr>
            <w:tcW w:w="7020" w:type="dxa"/>
            <w:vMerge w:val="restart"/>
            <w:vAlign w:val="center"/>
          </w:tcPr>
          <w:p>
            <w:pPr>
              <w:jc w:val="center"/>
              <w:rPr>
                <w:sz w:val="20"/>
                <w:szCs w:val="20"/>
              </w:rPr>
            </w:pPr>
            <w:r>
              <w:rPr>
                <w:rFonts w:hint="eastAsia"/>
                <w:sz w:val="20"/>
                <w:szCs w:val="20"/>
              </w:rPr>
              <w:t>请粘贴土地坐落图片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vMerge w:val="continue"/>
            <w:vAlign w:val="center"/>
          </w:tcPr>
          <w:p>
            <w:pPr>
              <w:spacing w:line="520" w:lineRule="exact"/>
              <w:jc w:val="center"/>
              <w:rPr>
                <w:sz w:val="24"/>
              </w:rPr>
            </w:pPr>
          </w:p>
        </w:tc>
        <w:tc>
          <w:tcPr>
            <w:tcW w:w="2160" w:type="dxa"/>
            <w:vAlign w:val="center"/>
          </w:tcPr>
          <w:p>
            <w:pPr>
              <w:spacing w:line="520" w:lineRule="exact"/>
              <w:jc w:val="center"/>
              <w:rPr>
                <w:sz w:val="24"/>
              </w:rPr>
            </w:pPr>
            <w:r>
              <w:rPr>
                <w:rFonts w:hint="eastAsia"/>
                <w:sz w:val="24"/>
              </w:rPr>
              <w:t>土地坐落</w:t>
            </w:r>
          </w:p>
        </w:tc>
        <w:tc>
          <w:tcPr>
            <w:tcW w:w="2520" w:type="dxa"/>
            <w:vAlign w:val="center"/>
          </w:tcPr>
          <w:p>
            <w:pPr>
              <w:jc w:val="left"/>
              <w:rPr>
                <w:sz w:val="20"/>
                <w:szCs w:val="20"/>
              </w:rPr>
            </w:pPr>
          </w:p>
        </w:tc>
        <w:tc>
          <w:tcPr>
            <w:tcW w:w="7020" w:type="dxa"/>
            <w:vMerge w:val="continue"/>
            <w:vAlign w:val="center"/>
          </w:tcPr>
          <w:p>
            <w:pPr>
              <w:jc w:val="center"/>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vMerge w:val="continue"/>
            <w:vAlign w:val="center"/>
          </w:tcPr>
          <w:p>
            <w:pPr>
              <w:spacing w:line="520" w:lineRule="exact"/>
              <w:jc w:val="center"/>
              <w:rPr>
                <w:sz w:val="24"/>
              </w:rPr>
            </w:pPr>
          </w:p>
        </w:tc>
        <w:tc>
          <w:tcPr>
            <w:tcW w:w="2160" w:type="dxa"/>
            <w:vAlign w:val="center"/>
          </w:tcPr>
          <w:p>
            <w:pPr>
              <w:spacing w:line="520" w:lineRule="exact"/>
              <w:jc w:val="center"/>
              <w:rPr>
                <w:sz w:val="24"/>
              </w:rPr>
            </w:pPr>
            <w:r>
              <w:rPr>
                <w:rFonts w:hint="eastAsia"/>
                <w:sz w:val="24"/>
              </w:rPr>
              <w:t>土地用途</w:t>
            </w:r>
          </w:p>
        </w:tc>
        <w:tc>
          <w:tcPr>
            <w:tcW w:w="2520" w:type="dxa"/>
            <w:vAlign w:val="center"/>
          </w:tcPr>
          <w:p>
            <w:pPr>
              <w:jc w:val="left"/>
              <w:rPr>
                <w:sz w:val="20"/>
                <w:szCs w:val="20"/>
              </w:rPr>
            </w:pPr>
          </w:p>
        </w:tc>
        <w:tc>
          <w:tcPr>
            <w:tcW w:w="7020" w:type="dxa"/>
            <w:vMerge w:val="continue"/>
            <w:vAlign w:val="center"/>
          </w:tcPr>
          <w:p>
            <w:pPr>
              <w:jc w:val="center"/>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vMerge w:val="continue"/>
            <w:vAlign w:val="center"/>
          </w:tcPr>
          <w:p>
            <w:pPr>
              <w:spacing w:line="520" w:lineRule="exact"/>
              <w:jc w:val="center"/>
              <w:rPr>
                <w:sz w:val="24"/>
              </w:rPr>
            </w:pPr>
          </w:p>
        </w:tc>
        <w:tc>
          <w:tcPr>
            <w:tcW w:w="2160" w:type="dxa"/>
            <w:vAlign w:val="center"/>
          </w:tcPr>
          <w:p>
            <w:pPr>
              <w:spacing w:line="520" w:lineRule="exact"/>
              <w:jc w:val="center"/>
              <w:rPr>
                <w:sz w:val="24"/>
              </w:rPr>
            </w:pPr>
            <w:r>
              <w:rPr>
                <w:rFonts w:hint="eastAsia"/>
                <w:sz w:val="24"/>
              </w:rPr>
              <w:t>用地面积</w:t>
            </w:r>
          </w:p>
        </w:tc>
        <w:tc>
          <w:tcPr>
            <w:tcW w:w="2520" w:type="dxa"/>
            <w:vAlign w:val="center"/>
          </w:tcPr>
          <w:p>
            <w:pPr>
              <w:jc w:val="left"/>
              <w:rPr>
                <w:sz w:val="20"/>
                <w:szCs w:val="20"/>
              </w:rPr>
            </w:pPr>
          </w:p>
        </w:tc>
        <w:tc>
          <w:tcPr>
            <w:tcW w:w="7020" w:type="dxa"/>
            <w:vMerge w:val="continue"/>
            <w:vAlign w:val="center"/>
          </w:tcPr>
          <w:p>
            <w:pPr>
              <w:jc w:val="center"/>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vMerge w:val="continue"/>
            <w:vAlign w:val="center"/>
          </w:tcPr>
          <w:p>
            <w:pPr>
              <w:spacing w:line="520" w:lineRule="exact"/>
              <w:jc w:val="center"/>
              <w:rPr>
                <w:sz w:val="24"/>
              </w:rPr>
            </w:pPr>
          </w:p>
        </w:tc>
        <w:tc>
          <w:tcPr>
            <w:tcW w:w="2160" w:type="dxa"/>
            <w:vAlign w:val="center"/>
          </w:tcPr>
          <w:p>
            <w:pPr>
              <w:spacing w:line="520" w:lineRule="exact"/>
              <w:jc w:val="center"/>
              <w:rPr>
                <w:sz w:val="24"/>
              </w:rPr>
            </w:pPr>
            <w:r>
              <w:rPr>
                <w:rFonts w:hint="eastAsia"/>
                <w:sz w:val="24"/>
              </w:rPr>
              <w:t>供地方式</w:t>
            </w:r>
          </w:p>
        </w:tc>
        <w:tc>
          <w:tcPr>
            <w:tcW w:w="2520" w:type="dxa"/>
            <w:vAlign w:val="center"/>
          </w:tcPr>
          <w:p>
            <w:pPr>
              <w:jc w:val="left"/>
              <w:rPr>
                <w:sz w:val="20"/>
                <w:szCs w:val="20"/>
              </w:rPr>
            </w:pPr>
            <w:r>
              <w:rPr>
                <w:rFonts w:hint="eastAsia"/>
                <w:sz w:val="20"/>
                <w:szCs w:val="20"/>
              </w:rPr>
              <w:t>挂牌出让</w:t>
            </w:r>
          </w:p>
        </w:tc>
        <w:tc>
          <w:tcPr>
            <w:tcW w:w="7020" w:type="dxa"/>
            <w:vMerge w:val="continue"/>
            <w:vAlign w:val="center"/>
          </w:tcPr>
          <w:p>
            <w:pPr>
              <w:jc w:val="center"/>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vMerge w:val="continue"/>
            <w:vAlign w:val="center"/>
          </w:tcPr>
          <w:p>
            <w:pPr>
              <w:spacing w:line="520" w:lineRule="exact"/>
              <w:jc w:val="center"/>
              <w:rPr>
                <w:sz w:val="24"/>
              </w:rPr>
            </w:pPr>
          </w:p>
        </w:tc>
        <w:tc>
          <w:tcPr>
            <w:tcW w:w="2160" w:type="dxa"/>
            <w:vAlign w:val="center"/>
          </w:tcPr>
          <w:p>
            <w:pPr>
              <w:spacing w:line="520" w:lineRule="exact"/>
              <w:jc w:val="center"/>
              <w:rPr>
                <w:sz w:val="24"/>
              </w:rPr>
            </w:pPr>
            <w:r>
              <w:rPr>
                <w:rFonts w:hint="eastAsia"/>
                <w:sz w:val="24"/>
              </w:rPr>
              <w:t>出让合同编号</w:t>
            </w:r>
          </w:p>
        </w:tc>
        <w:tc>
          <w:tcPr>
            <w:tcW w:w="2520" w:type="dxa"/>
            <w:vAlign w:val="center"/>
          </w:tcPr>
          <w:p>
            <w:pPr>
              <w:jc w:val="left"/>
              <w:rPr>
                <w:sz w:val="20"/>
                <w:szCs w:val="20"/>
              </w:rPr>
            </w:pPr>
          </w:p>
        </w:tc>
        <w:tc>
          <w:tcPr>
            <w:tcW w:w="7020" w:type="dxa"/>
            <w:vMerge w:val="continue"/>
            <w:vAlign w:val="center"/>
          </w:tcPr>
          <w:p>
            <w:pPr>
              <w:jc w:val="center"/>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vMerge w:val="restart"/>
            <w:textDirection w:val="tbRlV"/>
            <w:vAlign w:val="center"/>
          </w:tcPr>
          <w:p>
            <w:pPr>
              <w:spacing w:line="520" w:lineRule="exact"/>
              <w:ind w:left="113" w:right="113"/>
              <w:jc w:val="center"/>
              <w:rPr>
                <w:sz w:val="24"/>
              </w:rPr>
            </w:pPr>
            <w:r>
              <w:rPr>
                <w:rFonts w:hint="eastAsia"/>
                <w:sz w:val="24"/>
              </w:rPr>
              <w:t>规划条件</w:t>
            </w:r>
          </w:p>
        </w:tc>
        <w:tc>
          <w:tcPr>
            <w:tcW w:w="2160" w:type="dxa"/>
            <w:vAlign w:val="center"/>
          </w:tcPr>
          <w:p>
            <w:pPr>
              <w:spacing w:line="520" w:lineRule="exact"/>
              <w:jc w:val="center"/>
              <w:rPr>
                <w:sz w:val="24"/>
              </w:rPr>
            </w:pPr>
            <w:r>
              <w:rPr>
                <w:rFonts w:hint="eastAsia"/>
                <w:sz w:val="24"/>
              </w:rPr>
              <w:t>容积率</w:t>
            </w:r>
          </w:p>
        </w:tc>
        <w:tc>
          <w:tcPr>
            <w:tcW w:w="2520" w:type="dxa"/>
            <w:vAlign w:val="center"/>
          </w:tcPr>
          <w:p>
            <w:pPr>
              <w:jc w:val="left"/>
              <w:rPr>
                <w:sz w:val="20"/>
                <w:szCs w:val="20"/>
              </w:rPr>
            </w:pPr>
          </w:p>
        </w:tc>
        <w:tc>
          <w:tcPr>
            <w:tcW w:w="7020" w:type="dxa"/>
            <w:vMerge w:val="continue"/>
            <w:vAlign w:val="center"/>
          </w:tcPr>
          <w:p>
            <w:pPr>
              <w:jc w:val="center"/>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vMerge w:val="continue"/>
            <w:vAlign w:val="center"/>
          </w:tcPr>
          <w:p>
            <w:pPr>
              <w:spacing w:line="520" w:lineRule="exact"/>
              <w:jc w:val="center"/>
              <w:rPr>
                <w:sz w:val="24"/>
              </w:rPr>
            </w:pPr>
          </w:p>
        </w:tc>
        <w:tc>
          <w:tcPr>
            <w:tcW w:w="2160" w:type="dxa"/>
            <w:vAlign w:val="center"/>
          </w:tcPr>
          <w:p>
            <w:pPr>
              <w:spacing w:line="520" w:lineRule="exact"/>
              <w:jc w:val="center"/>
              <w:rPr>
                <w:sz w:val="24"/>
              </w:rPr>
            </w:pPr>
            <w:r>
              <w:rPr>
                <w:rFonts w:hint="eastAsia"/>
                <w:sz w:val="24"/>
              </w:rPr>
              <w:t>建筑密度</w:t>
            </w:r>
          </w:p>
        </w:tc>
        <w:tc>
          <w:tcPr>
            <w:tcW w:w="2520" w:type="dxa"/>
            <w:vAlign w:val="center"/>
          </w:tcPr>
          <w:p>
            <w:pPr>
              <w:jc w:val="left"/>
              <w:rPr>
                <w:sz w:val="20"/>
                <w:szCs w:val="20"/>
              </w:rPr>
            </w:pPr>
          </w:p>
        </w:tc>
        <w:tc>
          <w:tcPr>
            <w:tcW w:w="7020" w:type="dxa"/>
            <w:vMerge w:val="continue"/>
            <w:vAlign w:val="center"/>
          </w:tcPr>
          <w:p>
            <w:pPr>
              <w:jc w:val="center"/>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vMerge w:val="continue"/>
            <w:vAlign w:val="center"/>
          </w:tcPr>
          <w:p>
            <w:pPr>
              <w:spacing w:line="520" w:lineRule="exact"/>
              <w:jc w:val="center"/>
              <w:rPr>
                <w:sz w:val="24"/>
              </w:rPr>
            </w:pPr>
          </w:p>
        </w:tc>
        <w:tc>
          <w:tcPr>
            <w:tcW w:w="2160" w:type="dxa"/>
            <w:vAlign w:val="center"/>
          </w:tcPr>
          <w:p>
            <w:pPr>
              <w:spacing w:line="520" w:lineRule="exact"/>
              <w:jc w:val="center"/>
              <w:rPr>
                <w:sz w:val="24"/>
              </w:rPr>
            </w:pPr>
            <w:r>
              <w:rPr>
                <w:rFonts w:hint="eastAsia"/>
                <w:sz w:val="24"/>
              </w:rPr>
              <w:t>绿地率</w:t>
            </w:r>
          </w:p>
        </w:tc>
        <w:tc>
          <w:tcPr>
            <w:tcW w:w="2520" w:type="dxa"/>
            <w:vAlign w:val="center"/>
          </w:tcPr>
          <w:p>
            <w:pPr>
              <w:jc w:val="left"/>
              <w:rPr>
                <w:sz w:val="20"/>
                <w:szCs w:val="20"/>
              </w:rPr>
            </w:pPr>
          </w:p>
        </w:tc>
        <w:tc>
          <w:tcPr>
            <w:tcW w:w="7020" w:type="dxa"/>
            <w:vMerge w:val="continue"/>
            <w:vAlign w:val="center"/>
          </w:tcPr>
          <w:p>
            <w:pPr>
              <w:jc w:val="center"/>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vMerge w:val="continue"/>
            <w:vAlign w:val="center"/>
          </w:tcPr>
          <w:p>
            <w:pPr>
              <w:spacing w:line="520" w:lineRule="exact"/>
              <w:jc w:val="center"/>
              <w:rPr>
                <w:sz w:val="24"/>
              </w:rPr>
            </w:pPr>
          </w:p>
        </w:tc>
        <w:tc>
          <w:tcPr>
            <w:tcW w:w="2160" w:type="dxa"/>
            <w:vAlign w:val="center"/>
          </w:tcPr>
          <w:p>
            <w:pPr>
              <w:spacing w:line="520" w:lineRule="exact"/>
              <w:jc w:val="center"/>
              <w:rPr>
                <w:sz w:val="24"/>
              </w:rPr>
            </w:pPr>
            <w:r>
              <w:rPr>
                <w:rFonts w:hint="eastAsia"/>
                <w:sz w:val="24"/>
              </w:rPr>
              <w:t>使用期限</w:t>
            </w:r>
          </w:p>
        </w:tc>
        <w:tc>
          <w:tcPr>
            <w:tcW w:w="2520" w:type="dxa"/>
            <w:vAlign w:val="center"/>
          </w:tcPr>
          <w:p>
            <w:pPr>
              <w:jc w:val="left"/>
              <w:rPr>
                <w:sz w:val="20"/>
                <w:szCs w:val="20"/>
              </w:rPr>
            </w:pPr>
          </w:p>
        </w:tc>
        <w:tc>
          <w:tcPr>
            <w:tcW w:w="7020" w:type="dxa"/>
            <w:vMerge w:val="continue"/>
            <w:vAlign w:val="center"/>
          </w:tcPr>
          <w:p>
            <w:pPr>
              <w:jc w:val="center"/>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428" w:type="dxa"/>
            <w:gridSpan w:val="2"/>
            <w:vAlign w:val="center"/>
          </w:tcPr>
          <w:p>
            <w:pPr>
              <w:spacing w:line="520" w:lineRule="exact"/>
              <w:jc w:val="center"/>
              <w:rPr>
                <w:sz w:val="24"/>
              </w:rPr>
            </w:pPr>
            <w:r>
              <w:rPr>
                <w:rFonts w:hint="eastAsia"/>
                <w:sz w:val="24"/>
              </w:rPr>
              <w:t>约定开工时间</w:t>
            </w:r>
          </w:p>
        </w:tc>
        <w:tc>
          <w:tcPr>
            <w:tcW w:w="2520" w:type="dxa"/>
            <w:vAlign w:val="center"/>
          </w:tcPr>
          <w:p>
            <w:pPr>
              <w:jc w:val="left"/>
              <w:rPr>
                <w:sz w:val="20"/>
                <w:szCs w:val="20"/>
              </w:rPr>
            </w:pPr>
          </w:p>
        </w:tc>
        <w:tc>
          <w:tcPr>
            <w:tcW w:w="7020" w:type="dxa"/>
            <w:vMerge w:val="continue"/>
            <w:vAlign w:val="center"/>
          </w:tcPr>
          <w:p>
            <w:pPr>
              <w:jc w:val="center"/>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428" w:type="dxa"/>
            <w:gridSpan w:val="2"/>
            <w:vAlign w:val="center"/>
          </w:tcPr>
          <w:p>
            <w:pPr>
              <w:spacing w:line="520" w:lineRule="exact"/>
              <w:jc w:val="center"/>
              <w:rPr>
                <w:sz w:val="24"/>
              </w:rPr>
            </w:pPr>
            <w:r>
              <w:rPr>
                <w:rFonts w:hint="eastAsia"/>
                <w:sz w:val="24"/>
              </w:rPr>
              <w:t>约定竣工时间</w:t>
            </w:r>
          </w:p>
        </w:tc>
        <w:tc>
          <w:tcPr>
            <w:tcW w:w="2520" w:type="dxa"/>
            <w:vAlign w:val="center"/>
          </w:tcPr>
          <w:p>
            <w:pPr>
              <w:jc w:val="left"/>
              <w:rPr>
                <w:sz w:val="20"/>
                <w:szCs w:val="20"/>
              </w:rPr>
            </w:pPr>
          </w:p>
        </w:tc>
        <w:tc>
          <w:tcPr>
            <w:tcW w:w="7020" w:type="dxa"/>
            <w:vMerge w:val="continue"/>
            <w:vAlign w:val="center"/>
          </w:tcPr>
          <w:p>
            <w:pPr>
              <w:jc w:val="center"/>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428" w:type="dxa"/>
            <w:gridSpan w:val="2"/>
            <w:vAlign w:val="center"/>
          </w:tcPr>
          <w:p>
            <w:pPr>
              <w:spacing w:line="520" w:lineRule="exact"/>
              <w:jc w:val="center"/>
              <w:rPr>
                <w:sz w:val="24"/>
              </w:rPr>
            </w:pPr>
            <w:r>
              <w:rPr>
                <w:rFonts w:hint="eastAsia"/>
                <w:sz w:val="24"/>
              </w:rPr>
              <w:t>监管机构</w:t>
            </w:r>
          </w:p>
        </w:tc>
        <w:tc>
          <w:tcPr>
            <w:tcW w:w="2520" w:type="dxa"/>
            <w:vAlign w:val="center"/>
          </w:tcPr>
          <w:p>
            <w:pPr>
              <w:jc w:val="left"/>
              <w:rPr>
                <w:sz w:val="20"/>
                <w:szCs w:val="20"/>
              </w:rPr>
            </w:pPr>
            <w:r>
              <w:rPr>
                <w:rFonts w:hint="eastAsia"/>
                <w:sz w:val="20"/>
                <w:szCs w:val="20"/>
              </w:rPr>
              <w:t>贵港市自然资源局</w:t>
            </w:r>
            <w:r>
              <w:rPr>
                <w:sz w:val="20"/>
                <w:szCs w:val="20"/>
              </w:rPr>
              <w:t>0775-</w:t>
            </w:r>
            <w:r>
              <w:rPr>
                <w:rFonts w:hint="eastAsia"/>
                <w:sz w:val="20"/>
                <w:szCs w:val="20"/>
              </w:rPr>
              <w:t>4286071</w:t>
            </w:r>
          </w:p>
        </w:tc>
        <w:tc>
          <w:tcPr>
            <w:tcW w:w="7020" w:type="dxa"/>
            <w:vMerge w:val="continue"/>
            <w:vAlign w:val="center"/>
          </w:tcPr>
          <w:p>
            <w:pPr>
              <w:jc w:val="center"/>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4428" w:type="dxa"/>
            <w:gridSpan w:val="2"/>
            <w:vAlign w:val="center"/>
          </w:tcPr>
          <w:p>
            <w:pPr>
              <w:spacing w:line="520" w:lineRule="exact"/>
              <w:jc w:val="center"/>
              <w:rPr>
                <w:sz w:val="24"/>
              </w:rPr>
            </w:pPr>
            <w:r>
              <w:rPr>
                <w:rFonts w:hint="eastAsia"/>
                <w:sz w:val="24"/>
              </w:rPr>
              <w:t>举报电话</w:t>
            </w:r>
          </w:p>
        </w:tc>
        <w:tc>
          <w:tcPr>
            <w:tcW w:w="2520" w:type="dxa"/>
            <w:vAlign w:val="center"/>
          </w:tcPr>
          <w:p>
            <w:pPr>
              <w:jc w:val="left"/>
              <w:rPr>
                <w:sz w:val="20"/>
                <w:szCs w:val="20"/>
              </w:rPr>
            </w:pPr>
          </w:p>
        </w:tc>
        <w:tc>
          <w:tcPr>
            <w:tcW w:w="7020" w:type="dxa"/>
            <w:vMerge w:val="continue"/>
            <w:vAlign w:val="center"/>
          </w:tcPr>
          <w:p>
            <w:pPr>
              <w:jc w:val="center"/>
              <w:rPr>
                <w:sz w:val="20"/>
                <w:szCs w:val="20"/>
              </w:rPr>
            </w:pPr>
          </w:p>
        </w:tc>
      </w:tr>
    </w:tbl>
    <w:p/>
    <w:p/>
    <w:sectPr>
      <w:headerReference r:id="rId7" w:type="first"/>
      <w:footerReference r:id="rId10" w:type="first"/>
      <w:headerReference r:id="rId5" w:type="default"/>
      <w:footerReference r:id="rId8" w:type="default"/>
      <w:headerReference r:id="rId6" w:type="even"/>
      <w:footerReference r:id="rId9" w:type="even"/>
      <w:pgSz w:w="16838" w:h="11906" w:orient="landscape"/>
      <w:pgMar w:top="1701" w:right="1418" w:bottom="1418"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Verdana">
    <w:panose1 w:val="020B0604030504040204"/>
    <w:charset w:val="00"/>
    <w:family w:val="swiss"/>
    <w:pitch w:val="default"/>
    <w:sig w:usb0="A0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0E9ED79"/>
    <w:multiLevelType w:val="singleLevel"/>
    <w:tmpl w:val="E0E9ED79"/>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2"/>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I0YjFkZjAxMmE1ZDBlZGZlZWQxODEwMGI5YTJjZWQifQ=="/>
  </w:docVars>
  <w:rsids>
    <w:rsidRoot w:val="00B73A99"/>
    <w:rsid w:val="00001A18"/>
    <w:rsid w:val="00002037"/>
    <w:rsid w:val="00004A07"/>
    <w:rsid w:val="0000634F"/>
    <w:rsid w:val="000103C0"/>
    <w:rsid w:val="00011CEB"/>
    <w:rsid w:val="00012101"/>
    <w:rsid w:val="0001580E"/>
    <w:rsid w:val="0001758E"/>
    <w:rsid w:val="00021952"/>
    <w:rsid w:val="00023BD5"/>
    <w:rsid w:val="00025403"/>
    <w:rsid w:val="00027703"/>
    <w:rsid w:val="0003188E"/>
    <w:rsid w:val="00032793"/>
    <w:rsid w:val="00032E4A"/>
    <w:rsid w:val="00033660"/>
    <w:rsid w:val="00037CEB"/>
    <w:rsid w:val="00041786"/>
    <w:rsid w:val="00042E1E"/>
    <w:rsid w:val="000438A0"/>
    <w:rsid w:val="00053896"/>
    <w:rsid w:val="00057BBE"/>
    <w:rsid w:val="000607B8"/>
    <w:rsid w:val="00061734"/>
    <w:rsid w:val="0006368F"/>
    <w:rsid w:val="000648CD"/>
    <w:rsid w:val="000714ED"/>
    <w:rsid w:val="00076E29"/>
    <w:rsid w:val="0007732F"/>
    <w:rsid w:val="000815CF"/>
    <w:rsid w:val="00087AFF"/>
    <w:rsid w:val="00087BCC"/>
    <w:rsid w:val="00087EB2"/>
    <w:rsid w:val="00090F48"/>
    <w:rsid w:val="0009401E"/>
    <w:rsid w:val="000A3CAE"/>
    <w:rsid w:val="000A42AD"/>
    <w:rsid w:val="000A73E5"/>
    <w:rsid w:val="000B0334"/>
    <w:rsid w:val="000B475A"/>
    <w:rsid w:val="000B6896"/>
    <w:rsid w:val="000B73E8"/>
    <w:rsid w:val="000C0791"/>
    <w:rsid w:val="000D772B"/>
    <w:rsid w:val="000D7E1C"/>
    <w:rsid w:val="000E6ECD"/>
    <w:rsid w:val="000E6F08"/>
    <w:rsid w:val="001021AA"/>
    <w:rsid w:val="00102237"/>
    <w:rsid w:val="00103DAF"/>
    <w:rsid w:val="00104944"/>
    <w:rsid w:val="0011416D"/>
    <w:rsid w:val="0011695C"/>
    <w:rsid w:val="00117C27"/>
    <w:rsid w:val="001260EA"/>
    <w:rsid w:val="0012619B"/>
    <w:rsid w:val="0013041B"/>
    <w:rsid w:val="001341E9"/>
    <w:rsid w:val="00135C1B"/>
    <w:rsid w:val="00136E05"/>
    <w:rsid w:val="001423B4"/>
    <w:rsid w:val="00146F35"/>
    <w:rsid w:val="0014707D"/>
    <w:rsid w:val="001500B5"/>
    <w:rsid w:val="00150782"/>
    <w:rsid w:val="00152B63"/>
    <w:rsid w:val="00155146"/>
    <w:rsid w:val="00157802"/>
    <w:rsid w:val="00165BCB"/>
    <w:rsid w:val="001665D0"/>
    <w:rsid w:val="001752C8"/>
    <w:rsid w:val="001757F5"/>
    <w:rsid w:val="001814A2"/>
    <w:rsid w:val="00182A4F"/>
    <w:rsid w:val="00184006"/>
    <w:rsid w:val="00184C32"/>
    <w:rsid w:val="001860B5"/>
    <w:rsid w:val="0018691E"/>
    <w:rsid w:val="00190FF9"/>
    <w:rsid w:val="001915B9"/>
    <w:rsid w:val="001A0EAE"/>
    <w:rsid w:val="001A1073"/>
    <w:rsid w:val="001A1090"/>
    <w:rsid w:val="001A4473"/>
    <w:rsid w:val="001A53FA"/>
    <w:rsid w:val="001A6ED4"/>
    <w:rsid w:val="001A7347"/>
    <w:rsid w:val="001B38BE"/>
    <w:rsid w:val="001B4B59"/>
    <w:rsid w:val="001B4C95"/>
    <w:rsid w:val="001C26D4"/>
    <w:rsid w:val="001C61B6"/>
    <w:rsid w:val="001C662A"/>
    <w:rsid w:val="001D40F6"/>
    <w:rsid w:val="001D5E25"/>
    <w:rsid w:val="001E09BC"/>
    <w:rsid w:val="001E3C5D"/>
    <w:rsid w:val="001E648A"/>
    <w:rsid w:val="001F02A0"/>
    <w:rsid w:val="001F2CBC"/>
    <w:rsid w:val="001F37FA"/>
    <w:rsid w:val="001F4451"/>
    <w:rsid w:val="00202843"/>
    <w:rsid w:val="00202B27"/>
    <w:rsid w:val="00203057"/>
    <w:rsid w:val="002049B6"/>
    <w:rsid w:val="00207FA5"/>
    <w:rsid w:val="00217F4C"/>
    <w:rsid w:val="00221617"/>
    <w:rsid w:val="002220C9"/>
    <w:rsid w:val="00235A15"/>
    <w:rsid w:val="00236EB2"/>
    <w:rsid w:val="002434B8"/>
    <w:rsid w:val="002437E3"/>
    <w:rsid w:val="00244103"/>
    <w:rsid w:val="00246BEA"/>
    <w:rsid w:val="00247638"/>
    <w:rsid w:val="00247C5F"/>
    <w:rsid w:val="00250BF8"/>
    <w:rsid w:val="00252C35"/>
    <w:rsid w:val="00253B4A"/>
    <w:rsid w:val="00255B56"/>
    <w:rsid w:val="00265FB7"/>
    <w:rsid w:val="0026602C"/>
    <w:rsid w:val="002664B6"/>
    <w:rsid w:val="00275104"/>
    <w:rsid w:val="00280779"/>
    <w:rsid w:val="0028444A"/>
    <w:rsid w:val="0028491C"/>
    <w:rsid w:val="00284E2E"/>
    <w:rsid w:val="00285F2E"/>
    <w:rsid w:val="002864B7"/>
    <w:rsid w:val="0029277C"/>
    <w:rsid w:val="0029763B"/>
    <w:rsid w:val="00297E63"/>
    <w:rsid w:val="002A5E15"/>
    <w:rsid w:val="002B1581"/>
    <w:rsid w:val="002B1966"/>
    <w:rsid w:val="002B3A7B"/>
    <w:rsid w:val="002C30D4"/>
    <w:rsid w:val="002D0EB0"/>
    <w:rsid w:val="002D1A19"/>
    <w:rsid w:val="002D3F77"/>
    <w:rsid w:val="002D568D"/>
    <w:rsid w:val="002E14FF"/>
    <w:rsid w:val="002F6E64"/>
    <w:rsid w:val="00303FC6"/>
    <w:rsid w:val="00310F18"/>
    <w:rsid w:val="00311D93"/>
    <w:rsid w:val="003133EC"/>
    <w:rsid w:val="0031469E"/>
    <w:rsid w:val="00316A30"/>
    <w:rsid w:val="003259B0"/>
    <w:rsid w:val="00326E4C"/>
    <w:rsid w:val="003305B3"/>
    <w:rsid w:val="00331D21"/>
    <w:rsid w:val="00333007"/>
    <w:rsid w:val="00334459"/>
    <w:rsid w:val="00336EB8"/>
    <w:rsid w:val="003372D8"/>
    <w:rsid w:val="003410FE"/>
    <w:rsid w:val="00342E76"/>
    <w:rsid w:val="0034355E"/>
    <w:rsid w:val="00345A51"/>
    <w:rsid w:val="00350C27"/>
    <w:rsid w:val="003522EC"/>
    <w:rsid w:val="00362676"/>
    <w:rsid w:val="00362C45"/>
    <w:rsid w:val="0036357D"/>
    <w:rsid w:val="00365834"/>
    <w:rsid w:val="00365860"/>
    <w:rsid w:val="003658D6"/>
    <w:rsid w:val="00372DBC"/>
    <w:rsid w:val="00373F13"/>
    <w:rsid w:val="00376596"/>
    <w:rsid w:val="00381436"/>
    <w:rsid w:val="00381FDC"/>
    <w:rsid w:val="00382B26"/>
    <w:rsid w:val="00392DFF"/>
    <w:rsid w:val="00396CF8"/>
    <w:rsid w:val="0039757C"/>
    <w:rsid w:val="00397A87"/>
    <w:rsid w:val="003A08A7"/>
    <w:rsid w:val="003A2EDF"/>
    <w:rsid w:val="003A3F24"/>
    <w:rsid w:val="003A4F2E"/>
    <w:rsid w:val="003A7A39"/>
    <w:rsid w:val="003B155D"/>
    <w:rsid w:val="003B2235"/>
    <w:rsid w:val="003B353F"/>
    <w:rsid w:val="003B6542"/>
    <w:rsid w:val="003C6187"/>
    <w:rsid w:val="003C7F72"/>
    <w:rsid w:val="003D0D27"/>
    <w:rsid w:val="003D1770"/>
    <w:rsid w:val="003D2814"/>
    <w:rsid w:val="003D4D24"/>
    <w:rsid w:val="003D4EF1"/>
    <w:rsid w:val="003D542A"/>
    <w:rsid w:val="003D5E22"/>
    <w:rsid w:val="003F15B5"/>
    <w:rsid w:val="003F1AAC"/>
    <w:rsid w:val="003F1CC1"/>
    <w:rsid w:val="003F55D8"/>
    <w:rsid w:val="003F664F"/>
    <w:rsid w:val="003F7382"/>
    <w:rsid w:val="00406E21"/>
    <w:rsid w:val="00410B0B"/>
    <w:rsid w:val="0041249F"/>
    <w:rsid w:val="00412999"/>
    <w:rsid w:val="00416CA9"/>
    <w:rsid w:val="00417496"/>
    <w:rsid w:val="00422A3E"/>
    <w:rsid w:val="00424DAD"/>
    <w:rsid w:val="0042630F"/>
    <w:rsid w:val="00427057"/>
    <w:rsid w:val="004272CB"/>
    <w:rsid w:val="004318DE"/>
    <w:rsid w:val="004358BD"/>
    <w:rsid w:val="0043697F"/>
    <w:rsid w:val="00436FCB"/>
    <w:rsid w:val="00437620"/>
    <w:rsid w:val="004378D4"/>
    <w:rsid w:val="0044030D"/>
    <w:rsid w:val="004407F5"/>
    <w:rsid w:val="00441F9E"/>
    <w:rsid w:val="004426E6"/>
    <w:rsid w:val="004455BD"/>
    <w:rsid w:val="00446416"/>
    <w:rsid w:val="0045274C"/>
    <w:rsid w:val="00455C5E"/>
    <w:rsid w:val="0045707A"/>
    <w:rsid w:val="00463746"/>
    <w:rsid w:val="00463ED5"/>
    <w:rsid w:val="0046537D"/>
    <w:rsid w:val="0046679C"/>
    <w:rsid w:val="004676A2"/>
    <w:rsid w:val="0047378A"/>
    <w:rsid w:val="0047516E"/>
    <w:rsid w:val="0047625E"/>
    <w:rsid w:val="004775F6"/>
    <w:rsid w:val="00477DDB"/>
    <w:rsid w:val="00482A01"/>
    <w:rsid w:val="0048345C"/>
    <w:rsid w:val="00485E94"/>
    <w:rsid w:val="0049235D"/>
    <w:rsid w:val="00493CAF"/>
    <w:rsid w:val="0049475B"/>
    <w:rsid w:val="004A59B7"/>
    <w:rsid w:val="004A6120"/>
    <w:rsid w:val="004B20D8"/>
    <w:rsid w:val="004B4265"/>
    <w:rsid w:val="004B52A0"/>
    <w:rsid w:val="004B6C02"/>
    <w:rsid w:val="004C1CE0"/>
    <w:rsid w:val="004C24C0"/>
    <w:rsid w:val="004D1A6D"/>
    <w:rsid w:val="004D25D9"/>
    <w:rsid w:val="004D7C8C"/>
    <w:rsid w:val="004E127E"/>
    <w:rsid w:val="004E5677"/>
    <w:rsid w:val="004E5BE1"/>
    <w:rsid w:val="004F4057"/>
    <w:rsid w:val="004F66FB"/>
    <w:rsid w:val="0050187A"/>
    <w:rsid w:val="005027C1"/>
    <w:rsid w:val="00507851"/>
    <w:rsid w:val="005122B3"/>
    <w:rsid w:val="00516179"/>
    <w:rsid w:val="00522157"/>
    <w:rsid w:val="005234C3"/>
    <w:rsid w:val="0052365C"/>
    <w:rsid w:val="00523F18"/>
    <w:rsid w:val="005274E9"/>
    <w:rsid w:val="00530565"/>
    <w:rsid w:val="005311B5"/>
    <w:rsid w:val="00531AC9"/>
    <w:rsid w:val="005326D7"/>
    <w:rsid w:val="00533E97"/>
    <w:rsid w:val="00535ED6"/>
    <w:rsid w:val="00537A98"/>
    <w:rsid w:val="005419EC"/>
    <w:rsid w:val="0055032E"/>
    <w:rsid w:val="00552D8D"/>
    <w:rsid w:val="00553AF3"/>
    <w:rsid w:val="00553F00"/>
    <w:rsid w:val="005554EB"/>
    <w:rsid w:val="005572EB"/>
    <w:rsid w:val="00560E1C"/>
    <w:rsid w:val="005630F2"/>
    <w:rsid w:val="005660D7"/>
    <w:rsid w:val="0057156E"/>
    <w:rsid w:val="00572212"/>
    <w:rsid w:val="00573483"/>
    <w:rsid w:val="005743F9"/>
    <w:rsid w:val="00580DE4"/>
    <w:rsid w:val="005811A7"/>
    <w:rsid w:val="00581853"/>
    <w:rsid w:val="0058337C"/>
    <w:rsid w:val="005847F3"/>
    <w:rsid w:val="0058592C"/>
    <w:rsid w:val="00585A1B"/>
    <w:rsid w:val="00587E32"/>
    <w:rsid w:val="00592418"/>
    <w:rsid w:val="00592B77"/>
    <w:rsid w:val="005A1104"/>
    <w:rsid w:val="005A5DE7"/>
    <w:rsid w:val="005A7952"/>
    <w:rsid w:val="005B1229"/>
    <w:rsid w:val="005B1550"/>
    <w:rsid w:val="005B1C55"/>
    <w:rsid w:val="005B4263"/>
    <w:rsid w:val="005B4626"/>
    <w:rsid w:val="005B4E74"/>
    <w:rsid w:val="005B4EE2"/>
    <w:rsid w:val="005B500A"/>
    <w:rsid w:val="005B5241"/>
    <w:rsid w:val="005B7DC7"/>
    <w:rsid w:val="005C02B1"/>
    <w:rsid w:val="005D1184"/>
    <w:rsid w:val="005D4784"/>
    <w:rsid w:val="005D54AC"/>
    <w:rsid w:val="005E006B"/>
    <w:rsid w:val="005E1E30"/>
    <w:rsid w:val="005E45D8"/>
    <w:rsid w:val="005E5435"/>
    <w:rsid w:val="005F12B5"/>
    <w:rsid w:val="005F2768"/>
    <w:rsid w:val="005F33CC"/>
    <w:rsid w:val="005F7A82"/>
    <w:rsid w:val="0060351E"/>
    <w:rsid w:val="00603996"/>
    <w:rsid w:val="006039DA"/>
    <w:rsid w:val="00604DE0"/>
    <w:rsid w:val="00605E31"/>
    <w:rsid w:val="00610BB0"/>
    <w:rsid w:val="00616BB7"/>
    <w:rsid w:val="0062240D"/>
    <w:rsid w:val="00623087"/>
    <w:rsid w:val="006233BE"/>
    <w:rsid w:val="0062413E"/>
    <w:rsid w:val="00630887"/>
    <w:rsid w:val="00631D12"/>
    <w:rsid w:val="00640600"/>
    <w:rsid w:val="00644DF1"/>
    <w:rsid w:val="00644ED5"/>
    <w:rsid w:val="00646F87"/>
    <w:rsid w:val="006470E9"/>
    <w:rsid w:val="0065157B"/>
    <w:rsid w:val="00655FA6"/>
    <w:rsid w:val="00661982"/>
    <w:rsid w:val="00661AD2"/>
    <w:rsid w:val="00664DCD"/>
    <w:rsid w:val="0066503B"/>
    <w:rsid w:val="00665116"/>
    <w:rsid w:val="00665211"/>
    <w:rsid w:val="00670EAF"/>
    <w:rsid w:val="0067728E"/>
    <w:rsid w:val="006778DB"/>
    <w:rsid w:val="00691DA0"/>
    <w:rsid w:val="0069386B"/>
    <w:rsid w:val="006951E7"/>
    <w:rsid w:val="00695D25"/>
    <w:rsid w:val="00697BF5"/>
    <w:rsid w:val="006A384A"/>
    <w:rsid w:val="006A45EA"/>
    <w:rsid w:val="006A6210"/>
    <w:rsid w:val="006B1292"/>
    <w:rsid w:val="006B15AC"/>
    <w:rsid w:val="006B4FE9"/>
    <w:rsid w:val="006B75AC"/>
    <w:rsid w:val="006B7C2C"/>
    <w:rsid w:val="006C15E3"/>
    <w:rsid w:val="006C24C5"/>
    <w:rsid w:val="006C2A5C"/>
    <w:rsid w:val="006D35EC"/>
    <w:rsid w:val="006D3CC3"/>
    <w:rsid w:val="006E456B"/>
    <w:rsid w:val="006F1202"/>
    <w:rsid w:val="006F1D51"/>
    <w:rsid w:val="006F3971"/>
    <w:rsid w:val="006F476B"/>
    <w:rsid w:val="007034D1"/>
    <w:rsid w:val="0070513F"/>
    <w:rsid w:val="00706697"/>
    <w:rsid w:val="007066A0"/>
    <w:rsid w:val="00707E32"/>
    <w:rsid w:val="00716017"/>
    <w:rsid w:val="00716CAE"/>
    <w:rsid w:val="00726F94"/>
    <w:rsid w:val="007329CB"/>
    <w:rsid w:val="007358D6"/>
    <w:rsid w:val="00737E56"/>
    <w:rsid w:val="00744E28"/>
    <w:rsid w:val="00745F94"/>
    <w:rsid w:val="007474DA"/>
    <w:rsid w:val="007476DD"/>
    <w:rsid w:val="0075487A"/>
    <w:rsid w:val="00754C14"/>
    <w:rsid w:val="00756A07"/>
    <w:rsid w:val="007609DB"/>
    <w:rsid w:val="0076529F"/>
    <w:rsid w:val="0076664D"/>
    <w:rsid w:val="00770373"/>
    <w:rsid w:val="0077478B"/>
    <w:rsid w:val="00775C5B"/>
    <w:rsid w:val="007773DF"/>
    <w:rsid w:val="00782BE8"/>
    <w:rsid w:val="007838CF"/>
    <w:rsid w:val="00783ACC"/>
    <w:rsid w:val="0079042B"/>
    <w:rsid w:val="00791445"/>
    <w:rsid w:val="00791748"/>
    <w:rsid w:val="00791BAB"/>
    <w:rsid w:val="007925F1"/>
    <w:rsid w:val="00793AB2"/>
    <w:rsid w:val="007962A4"/>
    <w:rsid w:val="00797DFA"/>
    <w:rsid w:val="007A32B6"/>
    <w:rsid w:val="007A3639"/>
    <w:rsid w:val="007A3E70"/>
    <w:rsid w:val="007A559D"/>
    <w:rsid w:val="007B1AF3"/>
    <w:rsid w:val="007B1BB0"/>
    <w:rsid w:val="007B2921"/>
    <w:rsid w:val="007B34B6"/>
    <w:rsid w:val="007B3BAD"/>
    <w:rsid w:val="007B448A"/>
    <w:rsid w:val="007B7EDE"/>
    <w:rsid w:val="007C05D9"/>
    <w:rsid w:val="007C19E0"/>
    <w:rsid w:val="007C4129"/>
    <w:rsid w:val="007C4B5C"/>
    <w:rsid w:val="007C50FA"/>
    <w:rsid w:val="007C7D85"/>
    <w:rsid w:val="007D3911"/>
    <w:rsid w:val="007E11F1"/>
    <w:rsid w:val="007E35A2"/>
    <w:rsid w:val="007E64C7"/>
    <w:rsid w:val="007E7B10"/>
    <w:rsid w:val="007F14CD"/>
    <w:rsid w:val="007F1D43"/>
    <w:rsid w:val="007F1D4B"/>
    <w:rsid w:val="007F468D"/>
    <w:rsid w:val="007F51AA"/>
    <w:rsid w:val="007F5C39"/>
    <w:rsid w:val="007F6DF2"/>
    <w:rsid w:val="007F76E3"/>
    <w:rsid w:val="00801974"/>
    <w:rsid w:val="00801B45"/>
    <w:rsid w:val="00802103"/>
    <w:rsid w:val="00803018"/>
    <w:rsid w:val="00805B38"/>
    <w:rsid w:val="0080752E"/>
    <w:rsid w:val="00812177"/>
    <w:rsid w:val="0081355F"/>
    <w:rsid w:val="00824376"/>
    <w:rsid w:val="008266A3"/>
    <w:rsid w:val="00826CBE"/>
    <w:rsid w:val="0082763F"/>
    <w:rsid w:val="0083734A"/>
    <w:rsid w:val="00844AC8"/>
    <w:rsid w:val="00845CEF"/>
    <w:rsid w:val="00847421"/>
    <w:rsid w:val="00854A68"/>
    <w:rsid w:val="00865E55"/>
    <w:rsid w:val="008724A5"/>
    <w:rsid w:val="0087354A"/>
    <w:rsid w:val="008750C8"/>
    <w:rsid w:val="00880558"/>
    <w:rsid w:val="00881368"/>
    <w:rsid w:val="0088292C"/>
    <w:rsid w:val="0088794F"/>
    <w:rsid w:val="0089179B"/>
    <w:rsid w:val="00893215"/>
    <w:rsid w:val="008938E0"/>
    <w:rsid w:val="00896918"/>
    <w:rsid w:val="00897C3F"/>
    <w:rsid w:val="008A59C5"/>
    <w:rsid w:val="008B0EBE"/>
    <w:rsid w:val="008B2905"/>
    <w:rsid w:val="008C051E"/>
    <w:rsid w:val="008C7899"/>
    <w:rsid w:val="008C7BC9"/>
    <w:rsid w:val="008D2D50"/>
    <w:rsid w:val="008D72EC"/>
    <w:rsid w:val="008D75FA"/>
    <w:rsid w:val="008E1E2D"/>
    <w:rsid w:val="008E548E"/>
    <w:rsid w:val="008F2B73"/>
    <w:rsid w:val="008F3558"/>
    <w:rsid w:val="008F527D"/>
    <w:rsid w:val="00905030"/>
    <w:rsid w:val="0090542C"/>
    <w:rsid w:val="00906226"/>
    <w:rsid w:val="00910E10"/>
    <w:rsid w:val="00913A14"/>
    <w:rsid w:val="009214EB"/>
    <w:rsid w:val="009272D7"/>
    <w:rsid w:val="00927D51"/>
    <w:rsid w:val="00931D86"/>
    <w:rsid w:val="00933229"/>
    <w:rsid w:val="009362A1"/>
    <w:rsid w:val="00936E81"/>
    <w:rsid w:val="00945487"/>
    <w:rsid w:val="00946861"/>
    <w:rsid w:val="009557DB"/>
    <w:rsid w:val="00955C22"/>
    <w:rsid w:val="0096003D"/>
    <w:rsid w:val="00960C1F"/>
    <w:rsid w:val="00963A0D"/>
    <w:rsid w:val="00963BA3"/>
    <w:rsid w:val="00964CD3"/>
    <w:rsid w:val="00966DB7"/>
    <w:rsid w:val="009677FC"/>
    <w:rsid w:val="00967B02"/>
    <w:rsid w:val="00970324"/>
    <w:rsid w:val="00971C0E"/>
    <w:rsid w:val="00972179"/>
    <w:rsid w:val="0097469F"/>
    <w:rsid w:val="009746E0"/>
    <w:rsid w:val="0097487E"/>
    <w:rsid w:val="00974995"/>
    <w:rsid w:val="00974E4A"/>
    <w:rsid w:val="00976622"/>
    <w:rsid w:val="00980379"/>
    <w:rsid w:val="00982AF8"/>
    <w:rsid w:val="0098438D"/>
    <w:rsid w:val="00985F70"/>
    <w:rsid w:val="0099127B"/>
    <w:rsid w:val="00995579"/>
    <w:rsid w:val="00997E4A"/>
    <w:rsid w:val="009A0620"/>
    <w:rsid w:val="009A4275"/>
    <w:rsid w:val="009A458A"/>
    <w:rsid w:val="009A4C97"/>
    <w:rsid w:val="009B190F"/>
    <w:rsid w:val="009B4211"/>
    <w:rsid w:val="009B7E6E"/>
    <w:rsid w:val="009C3085"/>
    <w:rsid w:val="009C3B2D"/>
    <w:rsid w:val="009D1554"/>
    <w:rsid w:val="009D1B36"/>
    <w:rsid w:val="009D2849"/>
    <w:rsid w:val="009E19E0"/>
    <w:rsid w:val="009F0295"/>
    <w:rsid w:val="009F2BD1"/>
    <w:rsid w:val="00A0742A"/>
    <w:rsid w:val="00A07DEB"/>
    <w:rsid w:val="00A10C48"/>
    <w:rsid w:val="00A1279F"/>
    <w:rsid w:val="00A16E9E"/>
    <w:rsid w:val="00A225BF"/>
    <w:rsid w:val="00A22612"/>
    <w:rsid w:val="00A2367A"/>
    <w:rsid w:val="00A261E6"/>
    <w:rsid w:val="00A26BC6"/>
    <w:rsid w:val="00A3086F"/>
    <w:rsid w:val="00A330FC"/>
    <w:rsid w:val="00A4094B"/>
    <w:rsid w:val="00A4164F"/>
    <w:rsid w:val="00A418D2"/>
    <w:rsid w:val="00A42196"/>
    <w:rsid w:val="00A4572C"/>
    <w:rsid w:val="00A519A0"/>
    <w:rsid w:val="00A5263D"/>
    <w:rsid w:val="00A54FFC"/>
    <w:rsid w:val="00A602B6"/>
    <w:rsid w:val="00A62D23"/>
    <w:rsid w:val="00A63086"/>
    <w:rsid w:val="00A65E84"/>
    <w:rsid w:val="00A66036"/>
    <w:rsid w:val="00A72C24"/>
    <w:rsid w:val="00A74044"/>
    <w:rsid w:val="00A83328"/>
    <w:rsid w:val="00A837DB"/>
    <w:rsid w:val="00A847C5"/>
    <w:rsid w:val="00A85F11"/>
    <w:rsid w:val="00A86B41"/>
    <w:rsid w:val="00A92E58"/>
    <w:rsid w:val="00A93284"/>
    <w:rsid w:val="00A93300"/>
    <w:rsid w:val="00A93878"/>
    <w:rsid w:val="00AA37DF"/>
    <w:rsid w:val="00AB1A68"/>
    <w:rsid w:val="00AB7F66"/>
    <w:rsid w:val="00AC15DF"/>
    <w:rsid w:val="00AC69A4"/>
    <w:rsid w:val="00AD1E32"/>
    <w:rsid w:val="00AD26CF"/>
    <w:rsid w:val="00AD67AB"/>
    <w:rsid w:val="00AE0CD1"/>
    <w:rsid w:val="00AE4399"/>
    <w:rsid w:val="00AF16E4"/>
    <w:rsid w:val="00AF35C7"/>
    <w:rsid w:val="00B0376A"/>
    <w:rsid w:val="00B03FB6"/>
    <w:rsid w:val="00B04DEE"/>
    <w:rsid w:val="00B134AB"/>
    <w:rsid w:val="00B16063"/>
    <w:rsid w:val="00B1762F"/>
    <w:rsid w:val="00B1775C"/>
    <w:rsid w:val="00B211B4"/>
    <w:rsid w:val="00B21560"/>
    <w:rsid w:val="00B22264"/>
    <w:rsid w:val="00B271C3"/>
    <w:rsid w:val="00B34622"/>
    <w:rsid w:val="00B35EA6"/>
    <w:rsid w:val="00B37EEE"/>
    <w:rsid w:val="00B46F9E"/>
    <w:rsid w:val="00B5159B"/>
    <w:rsid w:val="00B553AE"/>
    <w:rsid w:val="00B55FCA"/>
    <w:rsid w:val="00B67A9A"/>
    <w:rsid w:val="00B70127"/>
    <w:rsid w:val="00B73A99"/>
    <w:rsid w:val="00B750D9"/>
    <w:rsid w:val="00B75EBB"/>
    <w:rsid w:val="00B80541"/>
    <w:rsid w:val="00B832DE"/>
    <w:rsid w:val="00B84267"/>
    <w:rsid w:val="00B843EC"/>
    <w:rsid w:val="00B8758A"/>
    <w:rsid w:val="00B87633"/>
    <w:rsid w:val="00B879DB"/>
    <w:rsid w:val="00B90A35"/>
    <w:rsid w:val="00B91257"/>
    <w:rsid w:val="00B912AE"/>
    <w:rsid w:val="00BA30C8"/>
    <w:rsid w:val="00BA35BC"/>
    <w:rsid w:val="00BA3B4C"/>
    <w:rsid w:val="00BA4A64"/>
    <w:rsid w:val="00BB0781"/>
    <w:rsid w:val="00BB146F"/>
    <w:rsid w:val="00BB390D"/>
    <w:rsid w:val="00BB6B24"/>
    <w:rsid w:val="00BB764C"/>
    <w:rsid w:val="00BC30FA"/>
    <w:rsid w:val="00BE36F5"/>
    <w:rsid w:val="00BE3E34"/>
    <w:rsid w:val="00BE7667"/>
    <w:rsid w:val="00BF0A41"/>
    <w:rsid w:val="00BF134A"/>
    <w:rsid w:val="00BF1B32"/>
    <w:rsid w:val="00BF2197"/>
    <w:rsid w:val="00BF2CCC"/>
    <w:rsid w:val="00BF37B5"/>
    <w:rsid w:val="00BF497E"/>
    <w:rsid w:val="00BF5FCF"/>
    <w:rsid w:val="00BF6C3A"/>
    <w:rsid w:val="00C077AC"/>
    <w:rsid w:val="00C11807"/>
    <w:rsid w:val="00C14352"/>
    <w:rsid w:val="00C26FBB"/>
    <w:rsid w:val="00C33A29"/>
    <w:rsid w:val="00C34AF9"/>
    <w:rsid w:val="00C36E29"/>
    <w:rsid w:val="00C374CB"/>
    <w:rsid w:val="00C503BA"/>
    <w:rsid w:val="00C512D7"/>
    <w:rsid w:val="00C51BAE"/>
    <w:rsid w:val="00C5229F"/>
    <w:rsid w:val="00C52C25"/>
    <w:rsid w:val="00C5303A"/>
    <w:rsid w:val="00C53568"/>
    <w:rsid w:val="00C55754"/>
    <w:rsid w:val="00C603F3"/>
    <w:rsid w:val="00C62914"/>
    <w:rsid w:val="00C62F05"/>
    <w:rsid w:val="00C62FF5"/>
    <w:rsid w:val="00C6365A"/>
    <w:rsid w:val="00C658A2"/>
    <w:rsid w:val="00C66D7A"/>
    <w:rsid w:val="00C70CE0"/>
    <w:rsid w:val="00C717A8"/>
    <w:rsid w:val="00C71D87"/>
    <w:rsid w:val="00C74A91"/>
    <w:rsid w:val="00C80326"/>
    <w:rsid w:val="00C84F9C"/>
    <w:rsid w:val="00C85D74"/>
    <w:rsid w:val="00C86207"/>
    <w:rsid w:val="00C868A7"/>
    <w:rsid w:val="00C86CB3"/>
    <w:rsid w:val="00C86FDC"/>
    <w:rsid w:val="00C9145A"/>
    <w:rsid w:val="00C926B6"/>
    <w:rsid w:val="00C941D1"/>
    <w:rsid w:val="00C94966"/>
    <w:rsid w:val="00C963EB"/>
    <w:rsid w:val="00C9736E"/>
    <w:rsid w:val="00C973CE"/>
    <w:rsid w:val="00CA0747"/>
    <w:rsid w:val="00CA2C0A"/>
    <w:rsid w:val="00CA449C"/>
    <w:rsid w:val="00CA6292"/>
    <w:rsid w:val="00CB1D05"/>
    <w:rsid w:val="00CB2A59"/>
    <w:rsid w:val="00CB3AAA"/>
    <w:rsid w:val="00CB4849"/>
    <w:rsid w:val="00CB4860"/>
    <w:rsid w:val="00CB5475"/>
    <w:rsid w:val="00CC0457"/>
    <w:rsid w:val="00CC0E3B"/>
    <w:rsid w:val="00CC3B3C"/>
    <w:rsid w:val="00CC54B8"/>
    <w:rsid w:val="00CD01F4"/>
    <w:rsid w:val="00CD38BF"/>
    <w:rsid w:val="00CD48F8"/>
    <w:rsid w:val="00CD4AA9"/>
    <w:rsid w:val="00CD4E45"/>
    <w:rsid w:val="00CE00ED"/>
    <w:rsid w:val="00CE193D"/>
    <w:rsid w:val="00CE4366"/>
    <w:rsid w:val="00CE4F1F"/>
    <w:rsid w:val="00CE603E"/>
    <w:rsid w:val="00CE7AB8"/>
    <w:rsid w:val="00CF0080"/>
    <w:rsid w:val="00CF0D2C"/>
    <w:rsid w:val="00CF151D"/>
    <w:rsid w:val="00CF3801"/>
    <w:rsid w:val="00CF3A2C"/>
    <w:rsid w:val="00CF7868"/>
    <w:rsid w:val="00CF7EDE"/>
    <w:rsid w:val="00D027CD"/>
    <w:rsid w:val="00D0428F"/>
    <w:rsid w:val="00D04BCD"/>
    <w:rsid w:val="00D05CE4"/>
    <w:rsid w:val="00D15C5C"/>
    <w:rsid w:val="00D17BAE"/>
    <w:rsid w:val="00D20724"/>
    <w:rsid w:val="00D210A6"/>
    <w:rsid w:val="00D25CA0"/>
    <w:rsid w:val="00D308F5"/>
    <w:rsid w:val="00D312FE"/>
    <w:rsid w:val="00D33AAE"/>
    <w:rsid w:val="00D35283"/>
    <w:rsid w:val="00D42ECE"/>
    <w:rsid w:val="00D50A50"/>
    <w:rsid w:val="00D50EE8"/>
    <w:rsid w:val="00D51355"/>
    <w:rsid w:val="00D53093"/>
    <w:rsid w:val="00D54C99"/>
    <w:rsid w:val="00D5573D"/>
    <w:rsid w:val="00D60D08"/>
    <w:rsid w:val="00D6142A"/>
    <w:rsid w:val="00D61EF1"/>
    <w:rsid w:val="00D6426F"/>
    <w:rsid w:val="00D6632C"/>
    <w:rsid w:val="00D66C62"/>
    <w:rsid w:val="00D670A0"/>
    <w:rsid w:val="00D74184"/>
    <w:rsid w:val="00D7670C"/>
    <w:rsid w:val="00D77801"/>
    <w:rsid w:val="00D80FE8"/>
    <w:rsid w:val="00D87B87"/>
    <w:rsid w:val="00D91D07"/>
    <w:rsid w:val="00D9295F"/>
    <w:rsid w:val="00D940F0"/>
    <w:rsid w:val="00DA5656"/>
    <w:rsid w:val="00DA5D60"/>
    <w:rsid w:val="00DA6ECA"/>
    <w:rsid w:val="00DA7333"/>
    <w:rsid w:val="00DB092F"/>
    <w:rsid w:val="00DB3BE9"/>
    <w:rsid w:val="00DB61B6"/>
    <w:rsid w:val="00DB6F19"/>
    <w:rsid w:val="00DC1B5A"/>
    <w:rsid w:val="00DC26DF"/>
    <w:rsid w:val="00DC5E38"/>
    <w:rsid w:val="00DE293B"/>
    <w:rsid w:val="00DE3643"/>
    <w:rsid w:val="00DE6C59"/>
    <w:rsid w:val="00DF02E1"/>
    <w:rsid w:val="00DF33D2"/>
    <w:rsid w:val="00DF3A5C"/>
    <w:rsid w:val="00DF5B04"/>
    <w:rsid w:val="00E01115"/>
    <w:rsid w:val="00E01524"/>
    <w:rsid w:val="00E0290E"/>
    <w:rsid w:val="00E0519C"/>
    <w:rsid w:val="00E0719F"/>
    <w:rsid w:val="00E1203F"/>
    <w:rsid w:val="00E13F37"/>
    <w:rsid w:val="00E15DD7"/>
    <w:rsid w:val="00E22743"/>
    <w:rsid w:val="00E24500"/>
    <w:rsid w:val="00E25F2D"/>
    <w:rsid w:val="00E27DF3"/>
    <w:rsid w:val="00E32CA3"/>
    <w:rsid w:val="00E33732"/>
    <w:rsid w:val="00E3544F"/>
    <w:rsid w:val="00E369D0"/>
    <w:rsid w:val="00E418F1"/>
    <w:rsid w:val="00E43993"/>
    <w:rsid w:val="00E4559A"/>
    <w:rsid w:val="00E46B4A"/>
    <w:rsid w:val="00E51A9F"/>
    <w:rsid w:val="00E53C90"/>
    <w:rsid w:val="00E562BC"/>
    <w:rsid w:val="00E57F05"/>
    <w:rsid w:val="00E6023A"/>
    <w:rsid w:val="00E6728F"/>
    <w:rsid w:val="00E72ABE"/>
    <w:rsid w:val="00E82580"/>
    <w:rsid w:val="00E82D33"/>
    <w:rsid w:val="00E85161"/>
    <w:rsid w:val="00E90A2D"/>
    <w:rsid w:val="00E91B19"/>
    <w:rsid w:val="00E95038"/>
    <w:rsid w:val="00E965A1"/>
    <w:rsid w:val="00E971EF"/>
    <w:rsid w:val="00EA01AC"/>
    <w:rsid w:val="00EA04F5"/>
    <w:rsid w:val="00EA2812"/>
    <w:rsid w:val="00EA43C4"/>
    <w:rsid w:val="00EA59E2"/>
    <w:rsid w:val="00EA759C"/>
    <w:rsid w:val="00EB15C5"/>
    <w:rsid w:val="00EB32CD"/>
    <w:rsid w:val="00EB35DB"/>
    <w:rsid w:val="00EB3BA7"/>
    <w:rsid w:val="00EB55F5"/>
    <w:rsid w:val="00EB5E29"/>
    <w:rsid w:val="00EC467C"/>
    <w:rsid w:val="00EC652E"/>
    <w:rsid w:val="00EC6A01"/>
    <w:rsid w:val="00ED0230"/>
    <w:rsid w:val="00ED0C1A"/>
    <w:rsid w:val="00ED21A5"/>
    <w:rsid w:val="00ED4134"/>
    <w:rsid w:val="00EE6B6D"/>
    <w:rsid w:val="00EF4A79"/>
    <w:rsid w:val="00F02241"/>
    <w:rsid w:val="00F02543"/>
    <w:rsid w:val="00F0478E"/>
    <w:rsid w:val="00F0680D"/>
    <w:rsid w:val="00F11298"/>
    <w:rsid w:val="00F11EBD"/>
    <w:rsid w:val="00F12D5F"/>
    <w:rsid w:val="00F15017"/>
    <w:rsid w:val="00F17973"/>
    <w:rsid w:val="00F21BD9"/>
    <w:rsid w:val="00F30951"/>
    <w:rsid w:val="00F30F74"/>
    <w:rsid w:val="00F32DE8"/>
    <w:rsid w:val="00F367BA"/>
    <w:rsid w:val="00F375D5"/>
    <w:rsid w:val="00F42C05"/>
    <w:rsid w:val="00F431BF"/>
    <w:rsid w:val="00F44B55"/>
    <w:rsid w:val="00F52A35"/>
    <w:rsid w:val="00F54C8D"/>
    <w:rsid w:val="00F56916"/>
    <w:rsid w:val="00F60A2A"/>
    <w:rsid w:val="00F623DA"/>
    <w:rsid w:val="00F66C35"/>
    <w:rsid w:val="00F7036E"/>
    <w:rsid w:val="00F70A94"/>
    <w:rsid w:val="00F736C9"/>
    <w:rsid w:val="00F763A9"/>
    <w:rsid w:val="00F832FF"/>
    <w:rsid w:val="00F84925"/>
    <w:rsid w:val="00F851A8"/>
    <w:rsid w:val="00F87FAC"/>
    <w:rsid w:val="00F97343"/>
    <w:rsid w:val="00FA5477"/>
    <w:rsid w:val="00FA6F50"/>
    <w:rsid w:val="00FB0692"/>
    <w:rsid w:val="00FB0CDB"/>
    <w:rsid w:val="00FB10F6"/>
    <w:rsid w:val="00FB6055"/>
    <w:rsid w:val="00FC274F"/>
    <w:rsid w:val="00FC2FFF"/>
    <w:rsid w:val="00FC38E9"/>
    <w:rsid w:val="00FC43BB"/>
    <w:rsid w:val="00FC49E1"/>
    <w:rsid w:val="00FD0FA9"/>
    <w:rsid w:val="00FD1BA2"/>
    <w:rsid w:val="00FD1CA6"/>
    <w:rsid w:val="00FD40AD"/>
    <w:rsid w:val="00FD72BC"/>
    <w:rsid w:val="00FE0E92"/>
    <w:rsid w:val="00FE3C18"/>
    <w:rsid w:val="00FE5078"/>
    <w:rsid w:val="00FF0140"/>
    <w:rsid w:val="00FF0A6D"/>
    <w:rsid w:val="00FF12DB"/>
    <w:rsid w:val="00FF149F"/>
    <w:rsid w:val="00FF1C29"/>
    <w:rsid w:val="00FF2BA1"/>
    <w:rsid w:val="00FF5E10"/>
    <w:rsid w:val="01556C11"/>
    <w:rsid w:val="02C51836"/>
    <w:rsid w:val="04B91A92"/>
    <w:rsid w:val="050822E4"/>
    <w:rsid w:val="06B66E61"/>
    <w:rsid w:val="07715188"/>
    <w:rsid w:val="08E54678"/>
    <w:rsid w:val="09145663"/>
    <w:rsid w:val="09A25DCD"/>
    <w:rsid w:val="0ABF5174"/>
    <w:rsid w:val="0BF263F6"/>
    <w:rsid w:val="0D552244"/>
    <w:rsid w:val="0E166084"/>
    <w:rsid w:val="10366EA9"/>
    <w:rsid w:val="12884AEF"/>
    <w:rsid w:val="12E20021"/>
    <w:rsid w:val="12FC13CB"/>
    <w:rsid w:val="14666445"/>
    <w:rsid w:val="16273EE0"/>
    <w:rsid w:val="16C678ED"/>
    <w:rsid w:val="184212FB"/>
    <w:rsid w:val="191F2A45"/>
    <w:rsid w:val="1A660899"/>
    <w:rsid w:val="1AB12645"/>
    <w:rsid w:val="1B6976C0"/>
    <w:rsid w:val="1C78090C"/>
    <w:rsid w:val="1D4A169C"/>
    <w:rsid w:val="1D8F7A29"/>
    <w:rsid w:val="1DF8598F"/>
    <w:rsid w:val="1DFA2A35"/>
    <w:rsid w:val="1E320959"/>
    <w:rsid w:val="1E76328D"/>
    <w:rsid w:val="1F6205B9"/>
    <w:rsid w:val="1F70586F"/>
    <w:rsid w:val="20A71D9E"/>
    <w:rsid w:val="24DD1D3E"/>
    <w:rsid w:val="25E00BF3"/>
    <w:rsid w:val="279D7E2F"/>
    <w:rsid w:val="28970834"/>
    <w:rsid w:val="2A1D4D13"/>
    <w:rsid w:val="2A9126C0"/>
    <w:rsid w:val="2B11557E"/>
    <w:rsid w:val="2B140DE0"/>
    <w:rsid w:val="2C9F1D0E"/>
    <w:rsid w:val="2CCE4C33"/>
    <w:rsid w:val="2CFE4742"/>
    <w:rsid w:val="2D770BDA"/>
    <w:rsid w:val="2F531CDD"/>
    <w:rsid w:val="306F30AD"/>
    <w:rsid w:val="30BC1803"/>
    <w:rsid w:val="31F72417"/>
    <w:rsid w:val="325818B8"/>
    <w:rsid w:val="34A10A71"/>
    <w:rsid w:val="34B96D40"/>
    <w:rsid w:val="34C67D99"/>
    <w:rsid w:val="357B2AE6"/>
    <w:rsid w:val="361E4910"/>
    <w:rsid w:val="364C1E9A"/>
    <w:rsid w:val="37813006"/>
    <w:rsid w:val="38976E3F"/>
    <w:rsid w:val="3C14762B"/>
    <w:rsid w:val="3E0324E7"/>
    <w:rsid w:val="3E142BE7"/>
    <w:rsid w:val="3E884054"/>
    <w:rsid w:val="3F8B58F1"/>
    <w:rsid w:val="411B3063"/>
    <w:rsid w:val="428C719B"/>
    <w:rsid w:val="437C3786"/>
    <w:rsid w:val="439C783E"/>
    <w:rsid w:val="43E85875"/>
    <w:rsid w:val="43F73C52"/>
    <w:rsid w:val="449A7DFC"/>
    <w:rsid w:val="459C2777"/>
    <w:rsid w:val="45B93647"/>
    <w:rsid w:val="49D3737F"/>
    <w:rsid w:val="4B1A6F87"/>
    <w:rsid w:val="4B337FFF"/>
    <w:rsid w:val="4BEC5CFA"/>
    <w:rsid w:val="4D2001B7"/>
    <w:rsid w:val="4DD32F1E"/>
    <w:rsid w:val="4E0C3F18"/>
    <w:rsid w:val="4FA93D6F"/>
    <w:rsid w:val="50053CF4"/>
    <w:rsid w:val="52E55735"/>
    <w:rsid w:val="52EB6E24"/>
    <w:rsid w:val="539354E6"/>
    <w:rsid w:val="54964D70"/>
    <w:rsid w:val="54F12E40"/>
    <w:rsid w:val="561141AC"/>
    <w:rsid w:val="56BE6BB7"/>
    <w:rsid w:val="571741AE"/>
    <w:rsid w:val="58A83EC4"/>
    <w:rsid w:val="58B4254A"/>
    <w:rsid w:val="592A6379"/>
    <w:rsid w:val="5A74178C"/>
    <w:rsid w:val="5ACD132B"/>
    <w:rsid w:val="5C5725E1"/>
    <w:rsid w:val="5C937967"/>
    <w:rsid w:val="5E363CD7"/>
    <w:rsid w:val="5E3816A2"/>
    <w:rsid w:val="60575C77"/>
    <w:rsid w:val="60A722EC"/>
    <w:rsid w:val="65DF04D3"/>
    <w:rsid w:val="693B4744"/>
    <w:rsid w:val="6A5A707F"/>
    <w:rsid w:val="6B0B05D5"/>
    <w:rsid w:val="6D1E2877"/>
    <w:rsid w:val="6FDE3322"/>
    <w:rsid w:val="700E7B08"/>
    <w:rsid w:val="719E6721"/>
    <w:rsid w:val="72C637E5"/>
    <w:rsid w:val="73DF5965"/>
    <w:rsid w:val="750C4B5B"/>
    <w:rsid w:val="75502A31"/>
    <w:rsid w:val="767A141A"/>
    <w:rsid w:val="77ED21B3"/>
    <w:rsid w:val="77FA75B7"/>
    <w:rsid w:val="7A7D26E8"/>
    <w:rsid w:val="7B80189B"/>
    <w:rsid w:val="7D3D5B7C"/>
    <w:rsid w:val="7E7A6970"/>
    <w:rsid w:val="7FAB78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semiHidden/>
    <w:qFormat/>
    <w:uiPriority w:val="0"/>
    <w:rPr>
      <w:sz w:val="18"/>
      <w:szCs w:val="18"/>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7">
    <w:name w:val="Char Char Char Char Char Char Char Char Char Char Char Char Char Char Char Char"/>
    <w:basedOn w:val="1"/>
    <w:qFormat/>
    <w:uiPriority w:val="0"/>
    <w:pPr>
      <w:tabs>
        <w:tab w:val="left" w:pos="360"/>
      </w:tabs>
    </w:pPr>
    <w:rPr>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5</Pages>
  <Words>1740</Words>
  <Characters>2018</Characters>
  <Lines>8</Lines>
  <Paragraphs>2</Paragraphs>
  <TotalTime>0</TotalTime>
  <ScaleCrop>false</ScaleCrop>
  <LinksUpToDate>false</LinksUpToDate>
  <CharactersWithSpaces>2103</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2021-09-02T08:27:00Z</dcterms:created>
  <dc:creator>高波</dc:creator>
  <cp:lastModifiedBy>7</cp:lastModifiedBy>
  <cp:lastPrinted>2024-07-18T03:11:00Z</cp:lastPrinted>
  <dcterms:modified xsi:type="dcterms:W3CDTF">2025-01-23T01:58:50Z</dcterms:modified>
  <dc:title>贵港市2013年第四十四期</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C676B33960A449918475D5036AB8FF66_13</vt:lpwstr>
  </property>
</Properties>
</file>