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44"/>
          <w:szCs w:val="44"/>
        </w:rPr>
      </w:pPr>
      <w:bookmarkStart w:id="0" w:name="_GoBack"/>
      <w:bookmarkEnd w:id="0"/>
      <w:r>
        <w:rPr>
          <w:rFonts w:hint="eastAsia" w:ascii="宋体" w:hAnsi="宋体"/>
          <w:b/>
          <w:sz w:val="44"/>
          <w:szCs w:val="44"/>
        </w:rPr>
        <mc:AlternateContent>
          <mc:Choice Requires="wps">
            <w:drawing>
              <wp:anchor distT="0" distB="0" distL="114300" distR="114300" simplePos="0" relativeHeight="251660288" behindDoc="0" locked="0" layoutInCell="1" allowOverlap="1">
                <wp:simplePos x="0" y="0"/>
                <wp:positionH relativeFrom="column">
                  <wp:posOffset>-410210</wp:posOffset>
                </wp:positionH>
                <wp:positionV relativeFrom="paragraph">
                  <wp:posOffset>-396240</wp:posOffset>
                </wp:positionV>
                <wp:extent cx="571500" cy="396240"/>
                <wp:effectExtent l="0" t="0" r="0" b="3810"/>
                <wp:wrapNone/>
                <wp:docPr id="1" name="文本框 4"/>
                <wp:cNvGraphicFramePr/>
                <a:graphic xmlns:a="http://schemas.openxmlformats.org/drawingml/2006/main">
                  <a:graphicData uri="http://schemas.microsoft.com/office/word/2010/wordprocessingShape">
                    <wps:wsp>
                      <wps:cNvSpPr txBox="1"/>
                      <wps:spPr>
                        <a:xfrm>
                          <a:off x="0" y="0"/>
                          <a:ext cx="571500" cy="396240"/>
                        </a:xfrm>
                        <a:prstGeom prst="rect">
                          <a:avLst/>
                        </a:prstGeom>
                        <a:solidFill>
                          <a:srgbClr val="FFFFFF"/>
                        </a:solidFill>
                        <a:ln>
                          <a:noFill/>
                        </a:ln>
                      </wps:spPr>
                      <wps:txbx>
                        <w:txbxContent>
                          <w:p>
                            <w:pPr>
                              <w:rPr>
                                <w:sz w:val="24"/>
                              </w:rPr>
                            </w:pPr>
                          </w:p>
                        </w:txbxContent>
                      </wps:txbx>
                      <wps:bodyPr wrap="square" upright="1"/>
                    </wps:wsp>
                  </a:graphicData>
                </a:graphic>
              </wp:anchor>
            </w:drawing>
          </mc:Choice>
          <mc:Fallback>
            <w:pict>
              <v:shape id="文本框 4" o:spid="_x0000_s1026" o:spt="202" type="#_x0000_t202" style="position:absolute;left:0pt;margin-left:-32.3pt;margin-top:-31.2pt;height:31.2pt;width:45pt;z-index:251660288;mso-width-relative:page;mso-height-relative:page;" fillcolor="#FFFFFF" filled="t" stroked="f" coordsize="21600,21600" o:gfxdata="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e2KfP1AAAAAcBAAAPAAAAAAAAAAEAIAAAACIAAABkcnMvZG93&#10;bnJldi54bWxQSwECFAAUAAAACACHTuJAyUPlQMsBAACEAwAADgAAAAAAAAABACAAAAAjAQAAZHJz&#10;L2Uyb0RvYy54bWxQSwUGAAAAAAYABgBZAQAAYAUAAAAA&#10;">
                <v:fill on="t" focussize="0,0"/>
                <v:stroke on="f"/>
                <v:imagedata o:title=""/>
                <o:lock v:ext="edit" aspectratio="f"/>
                <v:textbox>
                  <w:txbxContent>
                    <w:p>
                      <w:pPr>
                        <w:rPr>
                          <w:sz w:val="24"/>
                        </w:rPr>
                      </w:pPr>
                    </w:p>
                  </w:txbxContent>
                </v:textbox>
              </v:shape>
            </w:pict>
          </mc:Fallback>
        </mc:AlternateContent>
      </w:r>
      <w:r>
        <w:rPr>
          <w:rFonts w:hint="eastAsia" w:ascii="宋体" w:hAnsi="宋体"/>
          <w:b/>
          <w:sz w:val="44"/>
          <w:szCs w:val="44"/>
        </w:rPr>
        <w:t>贵港市</w:t>
      </w:r>
      <w:r>
        <w:rPr>
          <w:rFonts w:hint="eastAsia" w:ascii="宋体" w:hAnsi="宋体"/>
          <w:b/>
          <w:sz w:val="44"/>
          <w:szCs w:val="44"/>
          <w:lang w:val="en-US" w:eastAsia="zh-CN"/>
        </w:rPr>
        <w:t>2024</w:t>
      </w:r>
      <w:r>
        <w:rPr>
          <w:rFonts w:hint="eastAsia" w:ascii="宋体" w:hAnsi="宋体"/>
          <w:b/>
          <w:sz w:val="44"/>
          <w:szCs w:val="44"/>
        </w:rPr>
        <w:t>年第</w:t>
      </w:r>
      <w:r>
        <w:rPr>
          <w:rFonts w:hint="eastAsia" w:ascii="宋体" w:hAnsi="宋体"/>
          <w:b/>
          <w:sz w:val="44"/>
          <w:szCs w:val="44"/>
          <w:lang w:val="en-US" w:eastAsia="zh-CN"/>
        </w:rPr>
        <w:t>四十七</w:t>
      </w:r>
      <w:r>
        <w:rPr>
          <w:rFonts w:hint="eastAsia" w:ascii="宋体" w:hAnsi="宋体"/>
          <w:b/>
          <w:sz w:val="44"/>
          <w:szCs w:val="44"/>
        </w:rPr>
        <w:t>期</w:t>
      </w:r>
    </w:p>
    <w:p>
      <w:pPr>
        <w:jc w:val="center"/>
        <w:rPr>
          <w:rFonts w:ascii="宋体" w:hAnsi="宋体"/>
          <w:b/>
          <w:sz w:val="44"/>
          <w:szCs w:val="44"/>
        </w:rPr>
      </w:pPr>
      <w:r>
        <w:rPr>
          <w:rFonts w:hint="eastAsia" w:ascii="宋体" w:hAnsi="宋体"/>
          <w:b/>
          <w:sz w:val="44"/>
          <w:szCs w:val="44"/>
        </w:rPr>
        <w:t>国有建设用地使用权挂牌出让须知</w:t>
      </w:r>
    </w:p>
    <w:p>
      <w:pPr>
        <w:spacing w:line="560" w:lineRule="exact"/>
        <w:ind w:firstLine="602" w:firstLineChars="200"/>
        <w:jc w:val="center"/>
        <w:rPr>
          <w:rFonts w:hint="eastAsia" w:ascii="仿宋" w:hAnsi="仿宋" w:eastAsia="仿宋"/>
          <w:b/>
          <w:sz w:val="30"/>
          <w:szCs w:val="30"/>
          <w:lang w:eastAsia="zh-CN"/>
        </w:rPr>
      </w:pPr>
      <w:r>
        <w:rPr>
          <w:rFonts w:hint="eastAsia" w:ascii="仿宋" w:hAnsi="仿宋" w:eastAsia="仿宋"/>
          <w:b/>
          <w:sz w:val="30"/>
          <w:szCs w:val="30"/>
          <w:lang w:eastAsia="zh-CN"/>
        </w:rPr>
        <w:t>（</w:t>
      </w:r>
      <w:r>
        <w:rPr>
          <w:rFonts w:hint="eastAsia" w:ascii="仿宋" w:hAnsi="仿宋" w:eastAsia="仿宋"/>
          <w:b/>
          <w:sz w:val="30"/>
          <w:szCs w:val="30"/>
          <w:lang w:val="en-US" w:eastAsia="zh-CN"/>
        </w:rPr>
        <w:t>网上交易</w:t>
      </w:r>
      <w:r>
        <w:rPr>
          <w:rFonts w:hint="eastAsia" w:ascii="仿宋" w:hAnsi="仿宋" w:eastAsia="仿宋"/>
          <w:b/>
          <w:sz w:val="30"/>
          <w:szCs w:val="30"/>
          <w:lang w:eastAsia="zh-CN"/>
        </w:rPr>
        <w:t>）</w:t>
      </w:r>
    </w:p>
    <w:p>
      <w:pPr>
        <w:spacing w:line="420" w:lineRule="exact"/>
        <w:rPr>
          <w:rFonts w:ascii="仿宋" w:hAnsi="仿宋" w:eastAsia="仿宋"/>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520" w:lineRule="exact"/>
        <w:ind w:firstLine="643" w:firstLineChars="200"/>
        <w:textAlignment w:val="auto"/>
        <w:rPr>
          <w:rFonts w:hint="eastAsia" w:ascii="仿宋_GB2312" w:hAnsi="仿宋" w:eastAsia="仿宋_GB2312"/>
          <w:sz w:val="32"/>
          <w:szCs w:val="32"/>
          <w:u w:val="single"/>
          <w:lang w:val="en-US" w:eastAsia="zh-CN"/>
        </w:rPr>
      </w:pPr>
      <w:r>
        <w:rPr>
          <w:rFonts w:hint="eastAsia" w:ascii="仿宋_GB2312" w:hAnsi="仿宋" w:eastAsia="仿宋_GB2312"/>
          <w:b/>
          <w:bCs/>
          <w:sz w:val="32"/>
          <w:szCs w:val="32"/>
          <w:lang w:val="en-US" w:eastAsia="zh-CN"/>
        </w:rPr>
        <w:t>一、</w:t>
      </w:r>
      <w:r>
        <w:rPr>
          <w:rFonts w:hint="eastAsia" w:ascii="仿宋_GB2312" w:hAnsi="仿宋" w:eastAsia="仿宋_GB2312"/>
          <w:sz w:val="32"/>
          <w:szCs w:val="32"/>
        </w:rPr>
        <w:t>本期挂牌宗地位于：</w:t>
      </w:r>
      <w:r>
        <w:rPr>
          <w:rFonts w:hint="default" w:ascii="仿宋_GB2312" w:hAnsi="仿宋" w:eastAsia="仿宋_GB2312"/>
          <w:sz w:val="32"/>
          <w:szCs w:val="32"/>
          <w:u w:val="single"/>
          <w:lang w:val="en-US" w:eastAsia="zh-CN"/>
        </w:rPr>
        <w:t>贵港国家生态工业示范园区西江产业区西九路与西八路交汇处西南角</w:t>
      </w:r>
      <w:r>
        <w:rPr>
          <w:rFonts w:hint="eastAsia" w:ascii="仿宋_GB2312" w:hAnsi="仿宋" w:eastAsia="仿宋_GB2312"/>
          <w:sz w:val="32"/>
          <w:szCs w:val="32"/>
          <w:u w:val="none"/>
          <w:lang w:val="en-US" w:eastAsia="zh-CN"/>
        </w:rPr>
        <w:t>,</w:t>
      </w:r>
      <w:r>
        <w:rPr>
          <w:rFonts w:hint="eastAsia" w:ascii="仿宋_GB2312" w:hAnsi="仿宋" w:eastAsia="仿宋_GB2312"/>
          <w:sz w:val="32"/>
          <w:szCs w:val="32"/>
        </w:rPr>
        <w:t>实际</w:t>
      </w:r>
      <w:r>
        <w:rPr>
          <w:rFonts w:hint="eastAsia" w:ascii="仿宋_GB2312" w:hAnsi="仿宋" w:eastAsia="仿宋_GB2312"/>
          <w:sz w:val="32"/>
          <w:szCs w:val="32"/>
          <w:lang w:val="en-US" w:eastAsia="zh-CN"/>
        </w:rPr>
        <w:t>出让</w:t>
      </w:r>
      <w:r>
        <w:rPr>
          <w:rFonts w:hint="eastAsia" w:ascii="仿宋_GB2312" w:hAnsi="仿宋" w:eastAsia="仿宋_GB2312"/>
          <w:sz w:val="32"/>
          <w:szCs w:val="32"/>
        </w:rPr>
        <w:t>面积</w:t>
      </w:r>
      <w:r>
        <w:rPr>
          <w:rFonts w:hint="default" w:ascii="仿宋_GB2312" w:hAnsi="仿宋" w:eastAsia="仿宋_GB2312"/>
          <w:sz w:val="32"/>
          <w:szCs w:val="32"/>
          <w:u w:val="single"/>
          <w:lang w:val="en-US" w:eastAsia="zh-CN"/>
        </w:rPr>
        <w:t>14585.86㎡（折合21.879亩）</w:t>
      </w:r>
      <w:r>
        <w:rPr>
          <w:rFonts w:hint="eastAsia" w:ascii="仿宋_GB2312" w:hAnsi="仿宋" w:eastAsia="仿宋_GB2312"/>
          <w:sz w:val="32"/>
          <w:szCs w:val="32"/>
        </w:rPr>
        <w:t>，规划用途为</w:t>
      </w:r>
      <w:r>
        <w:rPr>
          <w:rFonts w:hint="eastAsia" w:ascii="仿宋_GB2312" w:hAnsi="仿宋" w:eastAsia="仿宋_GB2312"/>
          <w:sz w:val="32"/>
          <w:szCs w:val="32"/>
          <w:lang w:val="en-US" w:eastAsia="zh-CN"/>
        </w:rPr>
        <w:t>：</w:t>
      </w:r>
      <w:r>
        <w:rPr>
          <w:rFonts w:hint="default" w:ascii="仿宋_GB2312" w:hAnsi="仿宋" w:eastAsia="仿宋_GB2312"/>
          <w:sz w:val="32"/>
          <w:szCs w:val="32"/>
          <w:u w:val="single"/>
          <w:lang w:val="en-US" w:eastAsia="zh-CN"/>
        </w:rPr>
        <w:t>一类工业用地</w:t>
      </w:r>
      <w:r>
        <w:rPr>
          <w:rFonts w:hint="eastAsia" w:ascii="仿宋_GB2312" w:hAnsi="仿宋" w:eastAsia="仿宋_GB2312"/>
          <w:sz w:val="32"/>
          <w:szCs w:val="32"/>
          <w:lang w:val="en-US" w:eastAsia="zh-CN"/>
        </w:rPr>
        <w:t>。</w:t>
      </w:r>
    </w:p>
    <w:p>
      <w:pPr>
        <w:spacing w:before="156" w:beforeLines="50" w:after="156" w:afterLines="50" w:line="520" w:lineRule="exact"/>
        <w:ind w:firstLine="643" w:firstLineChars="20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 xml:space="preserve">二、报名申请和资格审查 </w:t>
      </w:r>
    </w:p>
    <w:p>
      <w:pPr>
        <w:spacing w:before="156" w:beforeLines="50" w:after="156" w:afterLines="50"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（一）用户注册</w:t>
      </w:r>
    </w:p>
    <w:p>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竞买申请人登录广西壮族自治区公共资源交易平台系统（贵港） （http://202.103.240.162:8081/GgzyjySSO/login/oauth2login?PlatformCode=E4508002851）（以下简称网上交易系统））进行用户注册。详细操作流程请登录全国公共交易平台（广西 壮 族 自 治 区 ） 官 网 中 的 综合 服 务 - 办 事 指 南http://ggzy.jgswj.gxzf.gov.cn/gxggzy/gywm/004021/004021001/policyLaws.html）下载权益类交易（土地使用权操作手册）。 </w:t>
      </w:r>
    </w:p>
    <w:p>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（二）数字证书办理 </w:t>
      </w:r>
    </w:p>
    <w:p>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竞买申请人在参加竞买前需办理数字证书方可登入网上交易系统。数字证书的办理请登录广西壮族自治区公共资源交易平台系统数字证书（ CA ）交叉互认平台（ 网 址 ：</w:t>
      </w:r>
      <w:r>
        <w:rPr>
          <w:rFonts w:hint="eastAsia" w:ascii="仿宋_GB2312" w:hAnsi="仿宋" w:eastAsia="仿宋_GB2312"/>
          <w:sz w:val="32"/>
          <w:szCs w:val="32"/>
          <w:lang w:val="en-US" w:eastAsia="zh-CN"/>
        </w:rPr>
        <w:fldChar w:fldCharType="begin"/>
      </w:r>
      <w:r>
        <w:rPr>
          <w:rFonts w:hint="eastAsia" w:ascii="仿宋_GB2312" w:hAnsi="仿宋" w:eastAsia="仿宋_GB2312"/>
          <w:sz w:val="32"/>
          <w:szCs w:val="32"/>
          <w:lang w:val="en-US" w:eastAsia="zh-CN"/>
        </w:rPr>
        <w:instrText xml:space="preserve"> HYPERLINK "http://ggzy.jgswj.gxzf.gov.cn/gxggzy/CAhrpt/CAlogin.html）。" </w:instrText>
      </w:r>
      <w:r>
        <w:rPr>
          <w:rFonts w:hint="eastAsia" w:ascii="仿宋_GB2312" w:hAnsi="仿宋" w:eastAsia="仿宋_GB2312"/>
          <w:sz w:val="32"/>
          <w:szCs w:val="32"/>
          <w:lang w:val="en-US" w:eastAsia="zh-CN"/>
        </w:rPr>
        <w:fldChar w:fldCharType="separate"/>
      </w:r>
      <w:r>
        <w:rPr>
          <w:rFonts w:hint="eastAsia" w:ascii="仿宋_GB2312" w:hAnsi="仿宋" w:eastAsia="仿宋_GB2312"/>
          <w:sz w:val="32"/>
          <w:szCs w:val="32"/>
          <w:lang w:val="en-US" w:eastAsia="zh-CN"/>
        </w:rPr>
        <w:t>http://ggzy.jgswj.gxzf.gov.cn/gxggzy/CAhrpt/CAlogin.html）。</w:t>
      </w:r>
      <w:r>
        <w:rPr>
          <w:rFonts w:hint="eastAsia" w:ascii="仿宋_GB2312" w:hAnsi="仿宋" w:eastAsia="仿宋_GB2312"/>
          <w:sz w:val="32"/>
          <w:szCs w:val="32"/>
          <w:lang w:val="en-US" w:eastAsia="zh-CN"/>
        </w:rPr>
        <w:fldChar w:fldCharType="end"/>
      </w:r>
    </w:p>
    <w:p>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（三）报名申请 </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Times New Roman" w:hAnsi="Times New Roman" w:eastAsia="仿宋_GB2312"/>
          <w:color w:val="000000"/>
          <w:spacing w:val="0"/>
          <w:sz w:val="32"/>
          <w:szCs w:val="32"/>
        </w:rPr>
      </w:pPr>
      <w:r>
        <w:rPr>
          <w:rFonts w:ascii="Times New Roman" w:hAnsi="Times New Roman" w:eastAsia="仿宋_GB2312"/>
          <w:color w:val="000000"/>
          <w:spacing w:val="0"/>
          <w:sz w:val="32"/>
          <w:szCs w:val="32"/>
          <w:lang w:val="en-US" w:eastAsia="zh-CN"/>
        </w:rPr>
        <w:t>竞买申请人在提交竞买申请前，应当详细阅读网上出让公 告、出让须知等文件。竞买申请书一经提交，即视为对网上交易系统交易规则、出让文件无异议。</w:t>
      </w:r>
      <w:r>
        <w:rPr>
          <w:rFonts w:hint="eastAsia" w:ascii="Times New Roman" w:hAnsi="Times New Roman" w:eastAsia="仿宋_GB2312"/>
          <w:color w:val="000000"/>
          <w:spacing w:val="0"/>
          <w:sz w:val="32"/>
          <w:szCs w:val="32"/>
          <w:lang w:val="en-US" w:eastAsia="zh-CN"/>
        </w:rPr>
        <w:t>有意竞买人可在挂牌报名截止时间前登入网上交易系统扫描上传以下材料：</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1.竞买申请书；</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2.资信证明（竞买人在报名期内到商业金融机构出具）；</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3.承诺书（竞买保证金不属于银行贷款、股东借款、转贷 和募集资金的承诺书） ；</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4.营业执照三证合一副本 (复印件）；</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5.法人身份证复印件；</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6.委托代理的还应提交授权委托书(原件)及委托代理人身份证(复印件)；</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7.竞买申请人属联合申请竞买的,必须出具联合各方共同签署的合作协议。</w:t>
      </w:r>
    </w:p>
    <w:p>
      <w:pPr>
        <w:spacing w:line="520" w:lineRule="exact"/>
        <w:ind w:firstLine="643" w:firstLineChars="200"/>
        <w:rPr>
          <w:rFonts w:hint="default" w:ascii="仿宋_GB2312" w:hAnsi="宋体" w:eastAsia="仿宋_GB2312"/>
          <w:b/>
          <w:bCs/>
          <w:sz w:val="32"/>
          <w:szCs w:val="32"/>
          <w:lang w:val="en-US" w:eastAsia="zh-CN"/>
        </w:rPr>
      </w:pPr>
      <w:r>
        <w:rPr>
          <w:rFonts w:hint="eastAsia" w:ascii="仿宋_GB2312" w:hAnsi="宋体" w:eastAsia="仿宋_GB2312"/>
          <w:b/>
          <w:bCs/>
          <w:sz w:val="32"/>
          <w:szCs w:val="32"/>
        </w:rPr>
        <w:t>注：</w:t>
      </w:r>
      <w:r>
        <w:rPr>
          <w:rFonts w:hint="eastAsia" w:ascii="仿宋_GB2312" w:hAnsi="宋体" w:eastAsia="仿宋_GB2312"/>
          <w:b/>
          <w:bCs/>
          <w:sz w:val="32"/>
          <w:szCs w:val="32"/>
          <w:lang w:val="en-US" w:eastAsia="zh-CN"/>
        </w:rPr>
        <w:t>成交当天，竞得人需持单位公章及以上材料一式两份到交易中心签订《成交确认书》（材料模板详见公告附件）</w:t>
      </w:r>
    </w:p>
    <w:p>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（四）资格审查 </w:t>
      </w:r>
    </w:p>
    <w:p>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竞买人在挂牌出让公告规定的时间内交纳竞买保证金且并进行报名申请，由出让人进行资格审查。</w:t>
      </w:r>
    </w:p>
    <w:p>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（五）确认竞买人资格 </w:t>
      </w:r>
    </w:p>
    <w:p>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出让人对竞买资格审查通过后，交易中心给予确认竞买人资格，竞买人方能进行竞买。 </w:t>
      </w:r>
    </w:p>
    <w:p>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（六）挂牌竞价 </w:t>
      </w:r>
    </w:p>
    <w:p>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凡报名成功按时交纳竞买保证金并通过网上交易系统获取竞买资格的申请人可进行网上挂牌报价。竞买申请人可在竞价询问期内（具体由竞买人登入网上交易系统查看）决定是否参与延时竞价。 </w:t>
      </w:r>
    </w:p>
    <w:p>
      <w:pPr>
        <w:keepNext w:val="0"/>
        <w:keepLines w:val="0"/>
        <w:pageBreakBefore w:val="0"/>
        <w:widowControl w:val="0"/>
        <w:numPr>
          <w:ilvl w:val="0"/>
          <w:numId w:val="1"/>
        </w:numPr>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成交当日确定竞得人后，竞得人需持扫描上传网上交易系统的材料原件到贵港市公共资源交易中心签订《成交确认书》并领取交易服务费《缴款通知》</w:t>
      </w:r>
    </w:p>
    <w:p>
      <w:pPr>
        <w:spacing w:before="156" w:beforeLines="50" w:after="156" w:afterLines="50" w:line="520" w:lineRule="exact"/>
        <w:ind w:firstLine="643" w:firstLineChars="20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 xml:space="preserve">三、报价规则 </w:t>
      </w:r>
    </w:p>
    <w:p>
      <w:pPr>
        <w:keepNext w:val="0"/>
        <w:keepLines w:val="0"/>
        <w:pageBreakBefore w:val="0"/>
        <w:widowControl w:val="0"/>
        <w:kinsoku/>
        <w:wordWrap w:val="0"/>
        <w:overflowPunct/>
        <w:topLinePunct w:val="0"/>
        <w:autoSpaceDE/>
        <w:autoSpaceDN/>
        <w:bidi w:val="0"/>
        <w:adjustRightInd/>
        <w:snapToGrid/>
        <w:spacing w:line="520" w:lineRule="exact"/>
        <w:ind w:firstLine="620" w:firstLineChars="200"/>
        <w:textAlignment w:val="auto"/>
        <w:rPr>
          <w:rFonts w:hint="eastAsia" w:ascii="仿宋_GB2312" w:hAnsi="宋体" w:eastAsia="仿宋_GB2312"/>
          <w:sz w:val="32"/>
          <w:szCs w:val="32"/>
          <w:lang w:val="en-US" w:eastAsia="zh-CN"/>
        </w:rPr>
      </w:pPr>
      <w:r>
        <w:rPr>
          <w:rFonts w:hint="eastAsia" w:ascii="仿宋" w:hAnsi="仿宋" w:eastAsia="仿宋" w:cs="仿宋"/>
          <w:color w:val="000000"/>
          <w:kern w:val="0"/>
          <w:sz w:val="31"/>
          <w:szCs w:val="31"/>
          <w:lang w:val="en-US" w:eastAsia="zh-CN" w:bidi="ar"/>
        </w:rPr>
        <w:t>（</w:t>
      </w:r>
      <w:r>
        <w:rPr>
          <w:rFonts w:hint="eastAsia" w:ascii="仿宋_GB2312" w:hAnsi="宋体" w:eastAsia="仿宋_GB2312"/>
          <w:sz w:val="32"/>
          <w:szCs w:val="32"/>
          <w:lang w:val="en-US" w:eastAsia="zh-CN"/>
        </w:rPr>
        <w:t>一）实行有底价的公开挂牌出让，即挂牌公布起始价后， 由竞买人出价，出价最高且不低于挂牌底价者取得土地使用权。</w:t>
      </w:r>
    </w:p>
    <w:p>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（二）本次挂牌以增价方式进行报价。 </w:t>
      </w:r>
    </w:p>
    <w:p>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（三）竞买人在挂牌期限内通过网上交易系统进行报价， </w:t>
      </w:r>
    </w:p>
    <w:p>
      <w:pPr>
        <w:keepNext w:val="0"/>
        <w:keepLines w:val="0"/>
        <w:pageBreakBefore w:val="0"/>
        <w:widowControl w:val="0"/>
        <w:kinsoku/>
        <w:wordWrap w:val="0"/>
        <w:overflowPunct/>
        <w:topLinePunct w:val="0"/>
        <w:autoSpaceDE/>
        <w:autoSpaceDN/>
        <w:bidi w:val="0"/>
        <w:adjustRightInd/>
        <w:snapToGrid/>
        <w:spacing w:line="520" w:lineRule="exact"/>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一经报出，不得撤回。 </w:t>
      </w:r>
    </w:p>
    <w:p>
      <w:pPr>
        <w:numPr>
          <w:ilvl w:val="0"/>
          <w:numId w:val="0"/>
        </w:numPr>
        <w:spacing w:line="50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cs="Times New Roman"/>
          <w:kern w:val="2"/>
          <w:sz w:val="32"/>
          <w:szCs w:val="32"/>
          <w:lang w:val="en-US" w:eastAsia="zh-CN" w:bidi="ar-SA"/>
        </w:rPr>
        <w:t>（四）</w:t>
      </w:r>
      <w:r>
        <w:rPr>
          <w:rFonts w:hint="eastAsia" w:ascii="仿宋_GB2312" w:hAnsi="宋体" w:eastAsia="仿宋_GB2312"/>
          <w:sz w:val="32"/>
          <w:szCs w:val="32"/>
          <w:lang w:val="en-US" w:eastAsia="zh-CN"/>
        </w:rPr>
        <w:t>在报价期间，竞买人可多次报价。</w:t>
      </w:r>
    </w:p>
    <w:p>
      <w:pPr>
        <w:spacing w:before="156" w:beforeLines="50" w:after="156" w:afterLines="50" w:line="520" w:lineRule="exact"/>
        <w:ind w:firstLine="643" w:firstLineChars="20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 xml:space="preserve">四、注意事项 </w:t>
      </w:r>
    </w:p>
    <w:p>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（一）CA 数字证书作为登录网上交易系统的身份凭证，凡在网上交易平台系统上以竞买人的 CA 数字证书和密码登录进行的操作，均被视为竞买人本人的行为，竞买人应当对以其 CA数字证书进行的所有活动负法律责任。 </w:t>
      </w:r>
    </w:p>
    <w:p>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（二）竞买人申请竞买应遵守网上交易系统设定的交易规则，因竞买人如下行为产生的一切后果，由竞买人承担： </w:t>
      </w:r>
    </w:p>
    <w:p>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1、未及时登录网上交易系统、未及时关注相关竞价信息、未及时出价等导致没有参加竞价活动的； </w:t>
      </w:r>
    </w:p>
    <w:p>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2、由于竞买人自身的终端设备和网络异常或操作不当等原因导致无法正常出价的； </w:t>
      </w:r>
    </w:p>
    <w:p>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3、网络竞价的时间以网上交易系统服务器时间为准，由于竞买人自身终端设备时间与网上交易系统服务器时间不符而导致未能及时参与竞价的 。</w:t>
      </w:r>
    </w:p>
    <w:p>
      <w:pPr>
        <w:spacing w:line="520" w:lineRule="exact"/>
        <w:ind w:firstLine="643" w:firstLineChars="200"/>
        <w:rPr>
          <w:rFonts w:ascii="仿宋_GB2312" w:hAnsi="宋体" w:eastAsia="仿宋_GB2312"/>
          <w:b/>
          <w:sz w:val="32"/>
          <w:szCs w:val="32"/>
          <w:highlight w:val="none"/>
        </w:rPr>
      </w:pPr>
      <w:r>
        <w:rPr>
          <w:rFonts w:hint="eastAsia" w:ascii="仿宋_GB2312" w:hAnsi="宋体" w:eastAsia="仿宋_GB2312"/>
          <w:b/>
          <w:sz w:val="32"/>
          <w:szCs w:val="32"/>
          <w:highlight w:val="none"/>
          <w:lang w:val="en-US" w:eastAsia="zh-CN"/>
        </w:rPr>
        <w:t>五</w:t>
      </w:r>
      <w:r>
        <w:rPr>
          <w:rFonts w:hint="eastAsia" w:ascii="仿宋_GB2312" w:hAnsi="宋体" w:eastAsia="仿宋_GB2312"/>
          <w:b/>
          <w:sz w:val="32"/>
          <w:szCs w:val="32"/>
          <w:highlight w:val="none"/>
        </w:rPr>
        <w:t>、其他相关事项</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(一)竞买人资格由出让方进行审查,对符合本公告规定条件的,发放竞买资格确认书。</w:t>
      </w:r>
      <w:r>
        <w:rPr>
          <w:rFonts w:hint="eastAsia" w:ascii="仿宋_GB2312" w:hAnsi="宋体" w:eastAsia="仿宋_GB2312"/>
          <w:b/>
          <w:sz w:val="32"/>
          <w:szCs w:val="32"/>
        </w:rPr>
        <w:t>联系电话：0775-4286077。</w:t>
      </w:r>
    </w:p>
    <w:p>
      <w:pPr>
        <w:spacing w:line="520" w:lineRule="exact"/>
        <w:ind w:firstLine="640" w:firstLineChars="200"/>
        <w:rPr>
          <w:rFonts w:ascii="仿宋_GB2312" w:hAnsi="宋体" w:eastAsia="仿宋_GB2312"/>
          <w:b/>
          <w:sz w:val="32"/>
          <w:szCs w:val="32"/>
        </w:rPr>
      </w:pPr>
      <w:r>
        <w:rPr>
          <w:rFonts w:hint="eastAsia" w:ascii="仿宋_GB2312" w:hAnsi="宋体" w:eastAsia="仿宋_GB2312"/>
          <w:sz w:val="32"/>
          <w:szCs w:val="32"/>
        </w:rPr>
        <w:t>(</w:t>
      </w:r>
      <w:r>
        <w:rPr>
          <w:rFonts w:hint="eastAsia" w:ascii="仿宋_GB2312" w:hAnsi="宋体" w:eastAsia="仿宋_GB2312"/>
          <w:sz w:val="32"/>
          <w:szCs w:val="32"/>
          <w:lang w:val="en-US" w:eastAsia="zh-CN"/>
        </w:rPr>
        <w:t>二</w:t>
      </w:r>
      <w:r>
        <w:rPr>
          <w:rFonts w:hint="eastAsia" w:ascii="仿宋_GB2312" w:hAnsi="宋体" w:eastAsia="仿宋_GB2312"/>
          <w:sz w:val="32"/>
          <w:szCs w:val="32"/>
        </w:rPr>
        <w:t>)保证金需在挂牌报名时间内足额缴纳到指定账户，保证金缴纳凭证由</w:t>
      </w:r>
      <w:r>
        <w:rPr>
          <w:rFonts w:hint="eastAsia" w:ascii="仿宋_GB2312" w:hAnsi="宋体" w:eastAsia="仿宋_GB2312"/>
          <w:sz w:val="32"/>
          <w:szCs w:val="32"/>
          <w:lang w:val="en-US" w:eastAsia="zh-CN"/>
        </w:rPr>
        <w:t>贵港市公共资源交易中心</w:t>
      </w:r>
      <w:r>
        <w:rPr>
          <w:rFonts w:hint="eastAsia" w:ascii="仿宋_GB2312" w:hAnsi="宋体" w:eastAsia="仿宋_GB2312"/>
          <w:sz w:val="32"/>
          <w:szCs w:val="32"/>
        </w:rPr>
        <w:t>出具，</w:t>
      </w:r>
      <w:r>
        <w:rPr>
          <w:rFonts w:hint="eastAsia" w:ascii="仿宋_GB2312" w:hAnsi="宋体" w:eastAsia="仿宋_GB2312"/>
          <w:b/>
          <w:sz w:val="32"/>
          <w:szCs w:val="32"/>
        </w:rPr>
        <w:t>联系电话：0775-4552102。</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w:t>
      </w:r>
      <w:r>
        <w:rPr>
          <w:rFonts w:hint="eastAsia" w:ascii="仿宋_GB2312" w:hAnsi="宋体" w:eastAsia="仿宋_GB2312"/>
          <w:sz w:val="32"/>
          <w:szCs w:val="32"/>
          <w:lang w:val="en-US" w:eastAsia="zh-CN"/>
        </w:rPr>
        <w:t>三</w:t>
      </w:r>
      <w:r>
        <w:rPr>
          <w:rFonts w:hint="eastAsia" w:ascii="仿宋_GB2312" w:hAnsi="宋体" w:eastAsia="仿宋_GB2312"/>
          <w:sz w:val="32"/>
          <w:szCs w:val="32"/>
        </w:rPr>
        <w:t>)未竞得人所交纳的竞买保证金,在挂牌活动结束后5个工作日内退还,不计利息。</w:t>
      </w:r>
    </w:p>
    <w:p>
      <w:pPr>
        <w:spacing w:line="520" w:lineRule="exact"/>
        <w:ind w:firstLine="640" w:firstLineChars="200"/>
        <w:rPr>
          <w:rFonts w:hint="eastAsia" w:ascii="仿宋_GB2312" w:hAnsi="宋体" w:eastAsia="仿宋_GB2312"/>
          <w:b/>
          <w:sz w:val="32"/>
          <w:szCs w:val="32"/>
          <w:lang w:val="en-US" w:eastAsia="zh-CN"/>
        </w:rPr>
      </w:pPr>
      <w:r>
        <w:rPr>
          <w:rFonts w:hint="eastAsia" w:ascii="仿宋_GB2312" w:hAnsi="宋体" w:eastAsia="仿宋_GB2312"/>
          <w:sz w:val="32"/>
          <w:szCs w:val="32"/>
        </w:rPr>
        <w:t>(</w:t>
      </w:r>
      <w:r>
        <w:rPr>
          <w:rFonts w:hint="eastAsia" w:ascii="仿宋_GB2312" w:hAnsi="宋体" w:eastAsia="仿宋_GB2312"/>
          <w:sz w:val="32"/>
          <w:szCs w:val="32"/>
          <w:lang w:val="en-US" w:eastAsia="zh-CN"/>
        </w:rPr>
        <w:t>四</w:t>
      </w:r>
      <w:r>
        <w:rPr>
          <w:rFonts w:hint="eastAsia" w:ascii="仿宋_GB2312" w:hAnsi="宋体" w:eastAsia="仿宋_GB2312"/>
          <w:sz w:val="32"/>
          <w:szCs w:val="32"/>
        </w:rPr>
        <w:t>)竞买申请人可在挂牌报名截止时间前（工作日内）到贵港市公共资源交易中心现场索取宗地出让文件。</w:t>
      </w:r>
    </w:p>
    <w:p>
      <w:pPr>
        <w:spacing w:line="500" w:lineRule="exact"/>
        <w:ind w:firstLine="643" w:firstLineChars="200"/>
        <w:rPr>
          <w:rFonts w:ascii="仿宋_GB2312" w:hAnsi="仿宋" w:eastAsia="仿宋_GB2312"/>
          <w:sz w:val="32"/>
          <w:szCs w:val="32"/>
        </w:rPr>
      </w:pPr>
      <w:r>
        <w:rPr>
          <w:rFonts w:hint="eastAsia" w:ascii="仿宋_GB2312" w:hAnsi="仿宋" w:eastAsia="仿宋_GB2312"/>
          <w:b/>
          <w:bCs/>
          <w:sz w:val="32"/>
          <w:szCs w:val="32"/>
          <w:lang w:val="en-US" w:eastAsia="zh-CN"/>
        </w:rPr>
        <w:t>六、</w:t>
      </w:r>
      <w:r>
        <w:rPr>
          <w:rFonts w:hint="eastAsia" w:ascii="仿宋_GB2312" w:hAnsi="仿宋" w:eastAsia="仿宋_GB2312"/>
          <w:sz w:val="32"/>
          <w:szCs w:val="32"/>
        </w:rPr>
        <w:t>竞得人在签订《国有建设用地使用权出让合同》之日起30日内在竞得宗地现场设置《建设项目用地信息公示牌》，公示牌规格不小于200</w:t>
      </w:r>
      <w:r>
        <w:rPr>
          <w:rFonts w:hint="eastAsia" w:ascii="仿宋_GB2312" w:hAnsi="仿宋" w:eastAsia="仿宋"/>
          <w:sz w:val="32"/>
          <w:szCs w:val="32"/>
        </w:rPr>
        <w:t>㎝</w:t>
      </w:r>
      <w:r>
        <w:rPr>
          <w:rFonts w:hint="eastAsia" w:ascii="仿宋_GB2312" w:hAnsi="仿宋" w:eastAsia="仿宋_GB2312"/>
          <w:sz w:val="32"/>
          <w:szCs w:val="32"/>
        </w:rPr>
        <w:t>×150</w:t>
      </w:r>
      <w:r>
        <w:rPr>
          <w:rFonts w:hint="eastAsia" w:ascii="仿宋_GB2312" w:hAnsi="仿宋" w:eastAsia="仿宋"/>
          <w:sz w:val="32"/>
          <w:szCs w:val="32"/>
        </w:rPr>
        <w:t>㎝</w:t>
      </w:r>
      <w:r>
        <w:rPr>
          <w:rFonts w:hint="eastAsia" w:ascii="仿宋_GB2312" w:hAnsi="仿宋" w:eastAsia="仿宋_GB2312"/>
          <w:sz w:val="32"/>
          <w:szCs w:val="32"/>
        </w:rPr>
        <w:t>，公示信息详见附件。</w:t>
      </w:r>
    </w:p>
    <w:p>
      <w:pPr>
        <w:spacing w:line="500" w:lineRule="exact"/>
        <w:ind w:firstLine="643" w:firstLineChars="200"/>
        <w:rPr>
          <w:rFonts w:ascii="仿宋_GB2312" w:hAnsi="仿宋" w:eastAsia="仿宋_GB2312"/>
          <w:sz w:val="32"/>
          <w:szCs w:val="32"/>
        </w:rPr>
      </w:pPr>
      <w:r>
        <w:rPr>
          <w:rFonts w:hint="eastAsia" w:ascii="仿宋_GB2312" w:hAnsi="仿宋" w:eastAsia="仿宋_GB2312"/>
          <w:b/>
          <w:bCs/>
          <w:sz w:val="32"/>
          <w:szCs w:val="32"/>
          <w:lang w:val="en-US" w:eastAsia="zh-CN"/>
        </w:rPr>
        <w:t>七、</w:t>
      </w:r>
      <w:r>
        <w:rPr>
          <w:rFonts w:hint="eastAsia" w:ascii="仿宋_GB2312" w:hAnsi="仿宋" w:eastAsia="仿宋_GB2312"/>
          <w:sz w:val="32"/>
          <w:szCs w:val="32"/>
        </w:rPr>
        <w:t>本挂牌须知与贵公交告</w:t>
      </w:r>
      <w:r>
        <w:rPr>
          <w:rFonts w:hint="eastAsia" w:ascii="仿宋_GB2312" w:hAnsi="仿宋" w:eastAsia="仿宋_GB2312"/>
          <w:spacing w:val="-20"/>
          <w:sz w:val="32"/>
          <w:szCs w:val="32"/>
        </w:rPr>
        <w:t>〔202</w:t>
      </w:r>
      <w:r>
        <w:rPr>
          <w:rFonts w:hint="eastAsia" w:ascii="仿宋_GB2312" w:hAnsi="仿宋" w:eastAsia="仿宋_GB2312"/>
          <w:spacing w:val="-20"/>
          <w:sz w:val="32"/>
          <w:szCs w:val="32"/>
          <w:lang w:val="en-US" w:eastAsia="zh-CN"/>
        </w:rPr>
        <w:t>4</w:t>
      </w:r>
      <w:r>
        <w:rPr>
          <w:rFonts w:hint="eastAsia" w:ascii="仿宋_GB2312" w:hAnsi="仿宋" w:eastAsia="仿宋_GB2312"/>
          <w:spacing w:val="-20"/>
          <w:sz w:val="32"/>
          <w:szCs w:val="32"/>
        </w:rPr>
        <w:t>〕</w:t>
      </w:r>
      <w:r>
        <w:rPr>
          <w:rFonts w:hint="eastAsia" w:ascii="仿宋_GB2312" w:hAnsi="仿宋" w:eastAsia="仿宋_GB2312"/>
          <w:spacing w:val="-20"/>
          <w:sz w:val="32"/>
          <w:szCs w:val="32"/>
          <w:lang w:val="en-US" w:eastAsia="zh-CN"/>
        </w:rPr>
        <w:t>51</w:t>
      </w:r>
      <w:r>
        <w:rPr>
          <w:rFonts w:hint="eastAsia" w:ascii="仿宋_GB2312" w:hAnsi="仿宋" w:eastAsia="仿宋_GB2312"/>
          <w:spacing w:val="-20"/>
          <w:sz w:val="32"/>
          <w:szCs w:val="32"/>
        </w:rPr>
        <w:t>号</w:t>
      </w:r>
      <w:r>
        <w:rPr>
          <w:rFonts w:hint="eastAsia" w:ascii="仿宋_GB2312" w:hAnsi="仿宋" w:eastAsia="仿宋_GB2312"/>
          <w:sz w:val="32"/>
          <w:szCs w:val="32"/>
        </w:rPr>
        <w:t>挂牌公告具有同等法律效力。</w:t>
      </w:r>
    </w:p>
    <w:p>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附件：建设项目用地信息公示牌</w:t>
      </w:r>
    </w:p>
    <w:p>
      <w:pPr>
        <w:spacing w:line="500" w:lineRule="exact"/>
        <w:rPr>
          <w:rFonts w:ascii="仿宋_GB2312" w:hAnsi="仿宋" w:eastAsia="仿宋_GB2312"/>
          <w:sz w:val="32"/>
          <w:szCs w:val="32"/>
        </w:rPr>
      </w:pPr>
    </w:p>
    <w:p>
      <w:pPr>
        <w:spacing w:line="500" w:lineRule="exact"/>
        <w:ind w:firstLine="640" w:firstLineChars="200"/>
        <w:rPr>
          <w:rFonts w:ascii="仿宋_GB2312" w:hAnsi="仿宋" w:eastAsia="仿宋_GB2312"/>
          <w:sz w:val="32"/>
          <w:szCs w:val="32"/>
        </w:rPr>
      </w:pPr>
    </w:p>
    <w:p>
      <w:pPr>
        <w:spacing w:line="500" w:lineRule="exact"/>
        <w:ind w:firstLine="4800" w:firstLineChars="1500"/>
        <w:rPr>
          <w:rFonts w:ascii="仿宋_GB2312" w:hAnsi="仿宋" w:eastAsia="仿宋_GB2312"/>
          <w:sz w:val="32"/>
          <w:szCs w:val="32"/>
        </w:rPr>
      </w:pPr>
    </w:p>
    <w:p>
      <w:pPr>
        <w:spacing w:line="500" w:lineRule="exact"/>
        <w:ind w:firstLine="4800" w:firstLineChars="1500"/>
        <w:rPr>
          <w:rFonts w:ascii="仿宋_GB2312" w:hAnsi="仿宋" w:eastAsia="仿宋_GB2312"/>
          <w:sz w:val="32"/>
          <w:szCs w:val="32"/>
        </w:rPr>
      </w:pPr>
    </w:p>
    <w:p>
      <w:pPr>
        <w:spacing w:line="500" w:lineRule="exact"/>
        <w:ind w:firstLine="4800" w:firstLineChars="1500"/>
        <w:rPr>
          <w:rFonts w:ascii="仿宋_GB2312" w:hAnsi="仿宋" w:eastAsia="仿宋_GB2312"/>
          <w:sz w:val="32"/>
          <w:szCs w:val="32"/>
        </w:rPr>
      </w:pPr>
      <w:r>
        <w:rPr>
          <w:rFonts w:hint="eastAsia" w:ascii="仿宋_GB2312" w:hAnsi="仿宋" w:eastAsia="仿宋_GB2312"/>
          <w:sz w:val="32"/>
          <w:szCs w:val="32"/>
        </w:rPr>
        <w:t>贵港市公共资源交易中心</w:t>
      </w:r>
    </w:p>
    <w:p>
      <w:pPr>
        <w:spacing w:line="500" w:lineRule="exact"/>
        <w:rPr>
          <w:rFonts w:ascii="仿宋_GB2312" w:hAnsi="仿宋" w:eastAsia="仿宋_GB2312"/>
          <w:sz w:val="32"/>
          <w:szCs w:val="32"/>
        </w:rPr>
      </w:pPr>
      <w:r>
        <w:rPr>
          <w:rFonts w:hint="eastAsia" w:ascii="仿宋_GB2312" w:hAnsi="仿宋" w:eastAsia="仿宋_GB2312"/>
          <w:sz w:val="32"/>
          <w:szCs w:val="32"/>
        </w:rPr>
        <w:t xml:space="preserve">                                 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w:t>
      </w:r>
      <w:r>
        <w:rPr>
          <w:rFonts w:hint="eastAsia" w:ascii="仿宋_GB2312" w:hAnsi="仿宋" w:eastAsia="仿宋_GB2312"/>
          <w:sz w:val="32"/>
          <w:szCs w:val="32"/>
          <w:lang w:val="en-US" w:eastAsia="zh-CN"/>
        </w:rPr>
        <w:t>11</w:t>
      </w:r>
      <w:r>
        <w:rPr>
          <w:rFonts w:hint="eastAsia" w:ascii="仿宋_GB2312" w:hAnsi="仿宋" w:eastAsia="仿宋_GB2312"/>
          <w:sz w:val="32"/>
          <w:szCs w:val="32"/>
        </w:rPr>
        <w:t>月</w:t>
      </w:r>
      <w:r>
        <w:rPr>
          <w:rFonts w:hint="eastAsia" w:ascii="仿宋_GB2312" w:hAnsi="仿宋" w:eastAsia="仿宋_GB2312"/>
          <w:sz w:val="32"/>
          <w:szCs w:val="32"/>
          <w:lang w:val="en-US" w:eastAsia="zh-CN"/>
        </w:rPr>
        <w:t>6</w:t>
      </w:r>
      <w:r>
        <w:rPr>
          <w:rFonts w:hint="eastAsia" w:ascii="仿宋_GB2312" w:hAnsi="仿宋" w:eastAsia="仿宋_GB2312"/>
          <w:sz w:val="32"/>
          <w:szCs w:val="32"/>
        </w:rPr>
        <w:t>日</w:t>
      </w:r>
    </w:p>
    <w:p>
      <w:pPr>
        <w:rPr>
          <w:rFonts w:ascii="仿宋" w:hAnsi="仿宋" w:eastAsia="仿宋" w:cs="宋体"/>
          <w:b/>
          <w:kern w:val="0"/>
          <w:sz w:val="32"/>
          <w:szCs w:val="32"/>
        </w:rPr>
        <w:sectPr>
          <w:headerReference r:id="rId3" w:type="default"/>
          <w:footerReference r:id="rId4" w:type="default"/>
          <w:pgSz w:w="11906" w:h="16838"/>
          <w:pgMar w:top="1418" w:right="1418" w:bottom="1418" w:left="1701" w:header="851" w:footer="992" w:gutter="0"/>
          <w:cols w:space="720" w:num="1"/>
          <w:docGrid w:type="lines" w:linePitch="312" w:charSpace="0"/>
        </w:sectPr>
      </w:pPr>
    </w:p>
    <w:tbl>
      <w:tblPr>
        <w:tblStyle w:val="5"/>
        <w:tblpPr w:leftFromText="180" w:rightFromText="180" w:vertAnchor="text" w:horzAnchor="margin" w:tblpY="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160"/>
        <w:gridCol w:w="2520"/>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3968" w:type="dxa"/>
            <w:gridSpan w:val="4"/>
            <w:vAlign w:val="center"/>
          </w:tcPr>
          <w:p>
            <w:pPr>
              <w:jc w:val="center"/>
              <w:rPr>
                <w:sz w:val="20"/>
                <w:szCs w:val="20"/>
              </w:rPr>
            </w:pPr>
            <w:r>
              <w:rPr>
                <w:rFonts w:hint="eastAsia" w:ascii="Verdana" w:hAnsi="Verdana" w:cs="宋体"/>
                <w:b/>
                <w:kern w:val="0"/>
                <w:sz w:val="29"/>
                <w:szCs w:val="29"/>
              </w:rPr>
              <w:t>建设项目用地信息公示牌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restart"/>
            <w:textDirection w:val="tbRlV"/>
            <w:vAlign w:val="center"/>
          </w:tcPr>
          <w:p>
            <w:pPr>
              <w:spacing w:line="520" w:lineRule="exact"/>
              <w:ind w:left="113" w:right="113"/>
              <w:jc w:val="center"/>
              <w:rPr>
                <w:sz w:val="24"/>
              </w:rPr>
            </w:pPr>
            <w:r>
              <w:rPr>
                <w:rFonts w:hint="eastAsia"/>
                <w:sz w:val="24"/>
              </w:rPr>
              <w:t>建设项目用地基本情况</w:t>
            </w:r>
          </w:p>
        </w:tc>
        <w:tc>
          <w:tcPr>
            <w:tcW w:w="2160" w:type="dxa"/>
            <w:vAlign w:val="center"/>
          </w:tcPr>
          <w:p>
            <w:pPr>
              <w:spacing w:line="520" w:lineRule="exact"/>
              <w:jc w:val="center"/>
              <w:rPr>
                <w:sz w:val="24"/>
              </w:rPr>
            </w:pPr>
            <w:r>
              <w:rPr>
                <w:rFonts w:hint="eastAsia"/>
                <w:sz w:val="24"/>
              </w:rPr>
              <w:t>土地使用权人</w:t>
            </w:r>
          </w:p>
        </w:tc>
        <w:tc>
          <w:tcPr>
            <w:tcW w:w="2520" w:type="dxa"/>
            <w:vAlign w:val="center"/>
          </w:tcPr>
          <w:p>
            <w:pPr>
              <w:jc w:val="left"/>
              <w:rPr>
                <w:sz w:val="20"/>
                <w:szCs w:val="20"/>
              </w:rPr>
            </w:pPr>
          </w:p>
        </w:tc>
        <w:tc>
          <w:tcPr>
            <w:tcW w:w="7020" w:type="dxa"/>
            <w:vMerge w:val="restart"/>
            <w:vAlign w:val="center"/>
          </w:tcPr>
          <w:p>
            <w:pPr>
              <w:jc w:val="center"/>
              <w:rPr>
                <w:sz w:val="20"/>
                <w:szCs w:val="20"/>
              </w:rPr>
            </w:pPr>
            <w:r>
              <w:rPr>
                <w:rFonts w:hint="eastAsia"/>
                <w:sz w:val="20"/>
                <w:szCs w:val="20"/>
              </w:rPr>
              <w:t>请粘贴土地坐落图片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pPr>
              <w:spacing w:line="520" w:lineRule="exact"/>
              <w:jc w:val="center"/>
              <w:rPr>
                <w:sz w:val="24"/>
              </w:rPr>
            </w:pPr>
          </w:p>
        </w:tc>
        <w:tc>
          <w:tcPr>
            <w:tcW w:w="2160" w:type="dxa"/>
            <w:vAlign w:val="center"/>
          </w:tcPr>
          <w:p>
            <w:pPr>
              <w:spacing w:line="520" w:lineRule="exact"/>
              <w:jc w:val="center"/>
              <w:rPr>
                <w:sz w:val="24"/>
              </w:rPr>
            </w:pPr>
            <w:r>
              <w:rPr>
                <w:rFonts w:hint="eastAsia"/>
                <w:sz w:val="24"/>
              </w:rPr>
              <w:t>土地坐落</w:t>
            </w:r>
          </w:p>
        </w:tc>
        <w:tc>
          <w:tcPr>
            <w:tcW w:w="2520" w:type="dxa"/>
            <w:vAlign w:val="center"/>
          </w:tcPr>
          <w:p>
            <w:pPr>
              <w:jc w:val="left"/>
              <w:rPr>
                <w:sz w:val="20"/>
                <w:szCs w:val="20"/>
              </w:rPr>
            </w:pPr>
          </w:p>
        </w:tc>
        <w:tc>
          <w:tcPr>
            <w:tcW w:w="7020" w:type="dxa"/>
            <w:vMerge w:val="continue"/>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pPr>
              <w:spacing w:line="520" w:lineRule="exact"/>
              <w:jc w:val="center"/>
              <w:rPr>
                <w:sz w:val="24"/>
              </w:rPr>
            </w:pPr>
          </w:p>
        </w:tc>
        <w:tc>
          <w:tcPr>
            <w:tcW w:w="2160" w:type="dxa"/>
            <w:vAlign w:val="center"/>
          </w:tcPr>
          <w:p>
            <w:pPr>
              <w:spacing w:line="520" w:lineRule="exact"/>
              <w:jc w:val="center"/>
              <w:rPr>
                <w:sz w:val="24"/>
              </w:rPr>
            </w:pPr>
            <w:r>
              <w:rPr>
                <w:rFonts w:hint="eastAsia"/>
                <w:sz w:val="24"/>
              </w:rPr>
              <w:t>土地用途</w:t>
            </w:r>
          </w:p>
        </w:tc>
        <w:tc>
          <w:tcPr>
            <w:tcW w:w="2520" w:type="dxa"/>
            <w:vAlign w:val="center"/>
          </w:tcPr>
          <w:p>
            <w:pPr>
              <w:jc w:val="left"/>
              <w:rPr>
                <w:sz w:val="20"/>
                <w:szCs w:val="20"/>
              </w:rPr>
            </w:pPr>
          </w:p>
        </w:tc>
        <w:tc>
          <w:tcPr>
            <w:tcW w:w="7020" w:type="dxa"/>
            <w:vMerge w:val="continue"/>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pPr>
              <w:spacing w:line="520" w:lineRule="exact"/>
              <w:jc w:val="center"/>
              <w:rPr>
                <w:sz w:val="24"/>
              </w:rPr>
            </w:pPr>
          </w:p>
        </w:tc>
        <w:tc>
          <w:tcPr>
            <w:tcW w:w="2160" w:type="dxa"/>
            <w:vAlign w:val="center"/>
          </w:tcPr>
          <w:p>
            <w:pPr>
              <w:spacing w:line="520" w:lineRule="exact"/>
              <w:jc w:val="center"/>
              <w:rPr>
                <w:sz w:val="24"/>
              </w:rPr>
            </w:pPr>
            <w:r>
              <w:rPr>
                <w:rFonts w:hint="eastAsia"/>
                <w:sz w:val="24"/>
              </w:rPr>
              <w:t>用地面积</w:t>
            </w:r>
          </w:p>
        </w:tc>
        <w:tc>
          <w:tcPr>
            <w:tcW w:w="2520" w:type="dxa"/>
            <w:vAlign w:val="center"/>
          </w:tcPr>
          <w:p>
            <w:pPr>
              <w:jc w:val="left"/>
              <w:rPr>
                <w:sz w:val="20"/>
                <w:szCs w:val="20"/>
              </w:rPr>
            </w:pPr>
          </w:p>
        </w:tc>
        <w:tc>
          <w:tcPr>
            <w:tcW w:w="7020" w:type="dxa"/>
            <w:vMerge w:val="continue"/>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pPr>
              <w:spacing w:line="520" w:lineRule="exact"/>
              <w:jc w:val="center"/>
              <w:rPr>
                <w:sz w:val="24"/>
              </w:rPr>
            </w:pPr>
          </w:p>
        </w:tc>
        <w:tc>
          <w:tcPr>
            <w:tcW w:w="2160" w:type="dxa"/>
            <w:vAlign w:val="center"/>
          </w:tcPr>
          <w:p>
            <w:pPr>
              <w:spacing w:line="520" w:lineRule="exact"/>
              <w:jc w:val="center"/>
              <w:rPr>
                <w:sz w:val="24"/>
              </w:rPr>
            </w:pPr>
            <w:r>
              <w:rPr>
                <w:rFonts w:hint="eastAsia"/>
                <w:sz w:val="24"/>
              </w:rPr>
              <w:t>供地方式</w:t>
            </w:r>
          </w:p>
        </w:tc>
        <w:tc>
          <w:tcPr>
            <w:tcW w:w="2520" w:type="dxa"/>
            <w:vAlign w:val="center"/>
          </w:tcPr>
          <w:p>
            <w:pPr>
              <w:jc w:val="left"/>
              <w:rPr>
                <w:sz w:val="20"/>
                <w:szCs w:val="20"/>
              </w:rPr>
            </w:pPr>
            <w:r>
              <w:rPr>
                <w:rFonts w:hint="eastAsia"/>
                <w:sz w:val="20"/>
                <w:szCs w:val="20"/>
              </w:rPr>
              <w:t>挂牌出让</w:t>
            </w:r>
          </w:p>
        </w:tc>
        <w:tc>
          <w:tcPr>
            <w:tcW w:w="7020" w:type="dxa"/>
            <w:vMerge w:val="continue"/>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pPr>
              <w:spacing w:line="520" w:lineRule="exact"/>
              <w:jc w:val="center"/>
              <w:rPr>
                <w:sz w:val="24"/>
              </w:rPr>
            </w:pPr>
          </w:p>
        </w:tc>
        <w:tc>
          <w:tcPr>
            <w:tcW w:w="2160" w:type="dxa"/>
            <w:vAlign w:val="center"/>
          </w:tcPr>
          <w:p>
            <w:pPr>
              <w:spacing w:line="520" w:lineRule="exact"/>
              <w:jc w:val="center"/>
              <w:rPr>
                <w:sz w:val="24"/>
              </w:rPr>
            </w:pPr>
            <w:r>
              <w:rPr>
                <w:rFonts w:hint="eastAsia"/>
                <w:sz w:val="24"/>
              </w:rPr>
              <w:t>出让合同编号</w:t>
            </w:r>
          </w:p>
        </w:tc>
        <w:tc>
          <w:tcPr>
            <w:tcW w:w="2520" w:type="dxa"/>
            <w:vAlign w:val="center"/>
          </w:tcPr>
          <w:p>
            <w:pPr>
              <w:jc w:val="left"/>
              <w:rPr>
                <w:sz w:val="20"/>
                <w:szCs w:val="20"/>
              </w:rPr>
            </w:pPr>
          </w:p>
        </w:tc>
        <w:tc>
          <w:tcPr>
            <w:tcW w:w="7020" w:type="dxa"/>
            <w:vMerge w:val="continue"/>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restart"/>
            <w:textDirection w:val="tbRlV"/>
            <w:vAlign w:val="center"/>
          </w:tcPr>
          <w:p>
            <w:pPr>
              <w:spacing w:line="520" w:lineRule="exact"/>
              <w:ind w:left="113" w:right="113"/>
              <w:jc w:val="center"/>
              <w:rPr>
                <w:sz w:val="24"/>
              </w:rPr>
            </w:pPr>
            <w:r>
              <w:rPr>
                <w:rFonts w:hint="eastAsia"/>
                <w:sz w:val="24"/>
              </w:rPr>
              <w:t>规划条件</w:t>
            </w:r>
          </w:p>
        </w:tc>
        <w:tc>
          <w:tcPr>
            <w:tcW w:w="2160" w:type="dxa"/>
            <w:vAlign w:val="center"/>
          </w:tcPr>
          <w:p>
            <w:pPr>
              <w:spacing w:line="520" w:lineRule="exact"/>
              <w:jc w:val="center"/>
              <w:rPr>
                <w:sz w:val="24"/>
              </w:rPr>
            </w:pPr>
            <w:r>
              <w:rPr>
                <w:rFonts w:hint="eastAsia"/>
                <w:sz w:val="24"/>
              </w:rPr>
              <w:t>容积率</w:t>
            </w:r>
          </w:p>
        </w:tc>
        <w:tc>
          <w:tcPr>
            <w:tcW w:w="2520" w:type="dxa"/>
            <w:vAlign w:val="center"/>
          </w:tcPr>
          <w:p>
            <w:pPr>
              <w:jc w:val="left"/>
              <w:rPr>
                <w:sz w:val="20"/>
                <w:szCs w:val="20"/>
              </w:rPr>
            </w:pPr>
          </w:p>
        </w:tc>
        <w:tc>
          <w:tcPr>
            <w:tcW w:w="7020" w:type="dxa"/>
            <w:vMerge w:val="continue"/>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pPr>
              <w:spacing w:line="520" w:lineRule="exact"/>
              <w:jc w:val="center"/>
              <w:rPr>
                <w:sz w:val="24"/>
              </w:rPr>
            </w:pPr>
          </w:p>
        </w:tc>
        <w:tc>
          <w:tcPr>
            <w:tcW w:w="2160" w:type="dxa"/>
            <w:vAlign w:val="center"/>
          </w:tcPr>
          <w:p>
            <w:pPr>
              <w:spacing w:line="520" w:lineRule="exact"/>
              <w:jc w:val="center"/>
              <w:rPr>
                <w:sz w:val="24"/>
              </w:rPr>
            </w:pPr>
            <w:r>
              <w:rPr>
                <w:rFonts w:hint="eastAsia"/>
                <w:sz w:val="24"/>
              </w:rPr>
              <w:t>建筑密度</w:t>
            </w:r>
          </w:p>
        </w:tc>
        <w:tc>
          <w:tcPr>
            <w:tcW w:w="2520" w:type="dxa"/>
            <w:vAlign w:val="center"/>
          </w:tcPr>
          <w:p>
            <w:pPr>
              <w:jc w:val="left"/>
              <w:rPr>
                <w:sz w:val="20"/>
                <w:szCs w:val="20"/>
              </w:rPr>
            </w:pPr>
          </w:p>
        </w:tc>
        <w:tc>
          <w:tcPr>
            <w:tcW w:w="7020" w:type="dxa"/>
            <w:vMerge w:val="continue"/>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pPr>
              <w:spacing w:line="520" w:lineRule="exact"/>
              <w:jc w:val="center"/>
              <w:rPr>
                <w:sz w:val="24"/>
              </w:rPr>
            </w:pPr>
          </w:p>
        </w:tc>
        <w:tc>
          <w:tcPr>
            <w:tcW w:w="2160" w:type="dxa"/>
            <w:vAlign w:val="center"/>
          </w:tcPr>
          <w:p>
            <w:pPr>
              <w:spacing w:line="520" w:lineRule="exact"/>
              <w:jc w:val="center"/>
              <w:rPr>
                <w:sz w:val="24"/>
              </w:rPr>
            </w:pPr>
            <w:r>
              <w:rPr>
                <w:rFonts w:hint="eastAsia"/>
                <w:sz w:val="24"/>
              </w:rPr>
              <w:t>绿地率</w:t>
            </w:r>
          </w:p>
        </w:tc>
        <w:tc>
          <w:tcPr>
            <w:tcW w:w="2520" w:type="dxa"/>
            <w:vAlign w:val="center"/>
          </w:tcPr>
          <w:p>
            <w:pPr>
              <w:jc w:val="left"/>
              <w:rPr>
                <w:sz w:val="20"/>
                <w:szCs w:val="20"/>
              </w:rPr>
            </w:pPr>
          </w:p>
        </w:tc>
        <w:tc>
          <w:tcPr>
            <w:tcW w:w="7020" w:type="dxa"/>
            <w:vMerge w:val="continue"/>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pPr>
              <w:spacing w:line="520" w:lineRule="exact"/>
              <w:jc w:val="center"/>
              <w:rPr>
                <w:sz w:val="24"/>
              </w:rPr>
            </w:pPr>
          </w:p>
        </w:tc>
        <w:tc>
          <w:tcPr>
            <w:tcW w:w="2160" w:type="dxa"/>
            <w:vAlign w:val="center"/>
          </w:tcPr>
          <w:p>
            <w:pPr>
              <w:spacing w:line="520" w:lineRule="exact"/>
              <w:jc w:val="center"/>
              <w:rPr>
                <w:sz w:val="24"/>
              </w:rPr>
            </w:pPr>
            <w:r>
              <w:rPr>
                <w:rFonts w:hint="eastAsia"/>
                <w:sz w:val="24"/>
              </w:rPr>
              <w:t>使用期限</w:t>
            </w:r>
          </w:p>
        </w:tc>
        <w:tc>
          <w:tcPr>
            <w:tcW w:w="2520" w:type="dxa"/>
            <w:vAlign w:val="center"/>
          </w:tcPr>
          <w:p>
            <w:pPr>
              <w:jc w:val="left"/>
              <w:rPr>
                <w:sz w:val="20"/>
                <w:szCs w:val="20"/>
              </w:rPr>
            </w:pPr>
          </w:p>
        </w:tc>
        <w:tc>
          <w:tcPr>
            <w:tcW w:w="7020" w:type="dxa"/>
            <w:vMerge w:val="continue"/>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28" w:type="dxa"/>
            <w:gridSpan w:val="2"/>
            <w:vAlign w:val="center"/>
          </w:tcPr>
          <w:p>
            <w:pPr>
              <w:spacing w:line="520" w:lineRule="exact"/>
              <w:jc w:val="center"/>
              <w:rPr>
                <w:sz w:val="24"/>
              </w:rPr>
            </w:pPr>
            <w:r>
              <w:rPr>
                <w:rFonts w:hint="eastAsia"/>
                <w:sz w:val="24"/>
              </w:rPr>
              <w:t>约定开工时间</w:t>
            </w:r>
          </w:p>
        </w:tc>
        <w:tc>
          <w:tcPr>
            <w:tcW w:w="2520" w:type="dxa"/>
            <w:vAlign w:val="center"/>
          </w:tcPr>
          <w:p>
            <w:pPr>
              <w:jc w:val="left"/>
              <w:rPr>
                <w:sz w:val="20"/>
                <w:szCs w:val="20"/>
              </w:rPr>
            </w:pPr>
          </w:p>
        </w:tc>
        <w:tc>
          <w:tcPr>
            <w:tcW w:w="7020" w:type="dxa"/>
            <w:vMerge w:val="continue"/>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28" w:type="dxa"/>
            <w:gridSpan w:val="2"/>
            <w:vAlign w:val="center"/>
          </w:tcPr>
          <w:p>
            <w:pPr>
              <w:spacing w:line="520" w:lineRule="exact"/>
              <w:jc w:val="center"/>
              <w:rPr>
                <w:sz w:val="24"/>
              </w:rPr>
            </w:pPr>
            <w:r>
              <w:rPr>
                <w:rFonts w:hint="eastAsia"/>
                <w:sz w:val="24"/>
              </w:rPr>
              <w:t>约定竣工时间</w:t>
            </w:r>
          </w:p>
        </w:tc>
        <w:tc>
          <w:tcPr>
            <w:tcW w:w="2520" w:type="dxa"/>
            <w:vAlign w:val="center"/>
          </w:tcPr>
          <w:p>
            <w:pPr>
              <w:jc w:val="left"/>
              <w:rPr>
                <w:sz w:val="20"/>
                <w:szCs w:val="20"/>
              </w:rPr>
            </w:pPr>
          </w:p>
        </w:tc>
        <w:tc>
          <w:tcPr>
            <w:tcW w:w="7020" w:type="dxa"/>
            <w:vMerge w:val="continue"/>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28" w:type="dxa"/>
            <w:gridSpan w:val="2"/>
            <w:vAlign w:val="center"/>
          </w:tcPr>
          <w:p>
            <w:pPr>
              <w:spacing w:line="520" w:lineRule="exact"/>
              <w:jc w:val="center"/>
              <w:rPr>
                <w:sz w:val="24"/>
              </w:rPr>
            </w:pPr>
            <w:r>
              <w:rPr>
                <w:rFonts w:hint="eastAsia"/>
                <w:sz w:val="24"/>
              </w:rPr>
              <w:t>监管机构</w:t>
            </w:r>
          </w:p>
        </w:tc>
        <w:tc>
          <w:tcPr>
            <w:tcW w:w="2520" w:type="dxa"/>
            <w:vAlign w:val="center"/>
          </w:tcPr>
          <w:p>
            <w:pPr>
              <w:jc w:val="left"/>
              <w:rPr>
                <w:sz w:val="20"/>
                <w:szCs w:val="20"/>
              </w:rPr>
            </w:pPr>
            <w:r>
              <w:rPr>
                <w:rFonts w:hint="eastAsia"/>
                <w:sz w:val="20"/>
                <w:szCs w:val="20"/>
              </w:rPr>
              <w:t>贵港市自然资源局</w:t>
            </w:r>
            <w:r>
              <w:rPr>
                <w:sz w:val="20"/>
                <w:szCs w:val="20"/>
              </w:rPr>
              <w:t>0775-</w:t>
            </w:r>
            <w:r>
              <w:rPr>
                <w:rFonts w:hint="eastAsia"/>
                <w:sz w:val="20"/>
                <w:szCs w:val="20"/>
              </w:rPr>
              <w:t>4286071</w:t>
            </w:r>
          </w:p>
        </w:tc>
        <w:tc>
          <w:tcPr>
            <w:tcW w:w="7020" w:type="dxa"/>
            <w:vMerge w:val="continue"/>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428" w:type="dxa"/>
            <w:gridSpan w:val="2"/>
            <w:vAlign w:val="center"/>
          </w:tcPr>
          <w:p>
            <w:pPr>
              <w:spacing w:line="520" w:lineRule="exact"/>
              <w:jc w:val="center"/>
              <w:rPr>
                <w:sz w:val="24"/>
              </w:rPr>
            </w:pPr>
            <w:r>
              <w:rPr>
                <w:rFonts w:hint="eastAsia"/>
                <w:sz w:val="24"/>
              </w:rPr>
              <w:t>举报电话</w:t>
            </w:r>
          </w:p>
        </w:tc>
        <w:tc>
          <w:tcPr>
            <w:tcW w:w="2520" w:type="dxa"/>
            <w:vAlign w:val="center"/>
          </w:tcPr>
          <w:p>
            <w:pPr>
              <w:jc w:val="left"/>
              <w:rPr>
                <w:sz w:val="20"/>
                <w:szCs w:val="20"/>
              </w:rPr>
            </w:pPr>
          </w:p>
        </w:tc>
        <w:tc>
          <w:tcPr>
            <w:tcW w:w="7020" w:type="dxa"/>
            <w:vMerge w:val="continue"/>
            <w:vAlign w:val="center"/>
          </w:tcPr>
          <w:p>
            <w:pPr>
              <w:jc w:val="center"/>
              <w:rPr>
                <w:sz w:val="20"/>
                <w:szCs w:val="20"/>
              </w:rPr>
            </w:pPr>
          </w:p>
        </w:tc>
      </w:tr>
    </w:tbl>
    <w:p/>
    <w:p/>
    <w:sectPr>
      <w:headerReference r:id="rId7" w:type="first"/>
      <w:footerReference r:id="rId10" w:type="first"/>
      <w:headerReference r:id="rId5" w:type="default"/>
      <w:footerReference r:id="rId8" w:type="default"/>
      <w:headerReference r:id="rId6" w:type="even"/>
      <w:footerReference r:id="rId9" w:type="even"/>
      <w:pgSz w:w="16838" w:h="11906" w:orient="landscape"/>
      <w:pgMar w:top="1701"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E9ED79"/>
    <w:multiLevelType w:val="singleLevel"/>
    <w:tmpl w:val="E0E9ED79"/>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4MjMyYzA2Y2IwZDYzODAxZmViZDc4NTMyNDdjYzYifQ=="/>
  </w:docVars>
  <w:rsids>
    <w:rsidRoot w:val="00B73A99"/>
    <w:rsid w:val="00001A18"/>
    <w:rsid w:val="00002037"/>
    <w:rsid w:val="00004A07"/>
    <w:rsid w:val="0000634F"/>
    <w:rsid w:val="000103C0"/>
    <w:rsid w:val="00011CEB"/>
    <w:rsid w:val="00012101"/>
    <w:rsid w:val="0001580E"/>
    <w:rsid w:val="0001758E"/>
    <w:rsid w:val="00021952"/>
    <w:rsid w:val="00023BD5"/>
    <w:rsid w:val="00025403"/>
    <w:rsid w:val="00027703"/>
    <w:rsid w:val="0003188E"/>
    <w:rsid w:val="00032793"/>
    <w:rsid w:val="00032E4A"/>
    <w:rsid w:val="00033660"/>
    <w:rsid w:val="00037CEB"/>
    <w:rsid w:val="00041786"/>
    <w:rsid w:val="00042E1E"/>
    <w:rsid w:val="000438A0"/>
    <w:rsid w:val="00053896"/>
    <w:rsid w:val="00057BBE"/>
    <w:rsid w:val="000607B8"/>
    <w:rsid w:val="00061734"/>
    <w:rsid w:val="0006368F"/>
    <w:rsid w:val="000648CD"/>
    <w:rsid w:val="000714ED"/>
    <w:rsid w:val="00076E29"/>
    <w:rsid w:val="0007732F"/>
    <w:rsid w:val="000815CF"/>
    <w:rsid w:val="00087AFF"/>
    <w:rsid w:val="00087BCC"/>
    <w:rsid w:val="00087EB2"/>
    <w:rsid w:val="00090F48"/>
    <w:rsid w:val="0009401E"/>
    <w:rsid w:val="000A3CAE"/>
    <w:rsid w:val="000A42AD"/>
    <w:rsid w:val="000A73E5"/>
    <w:rsid w:val="000B0334"/>
    <w:rsid w:val="000B475A"/>
    <w:rsid w:val="000B6896"/>
    <w:rsid w:val="000B73E8"/>
    <w:rsid w:val="000C0791"/>
    <w:rsid w:val="000D772B"/>
    <w:rsid w:val="000D7E1C"/>
    <w:rsid w:val="000E6ECD"/>
    <w:rsid w:val="000E6F08"/>
    <w:rsid w:val="001021AA"/>
    <w:rsid w:val="00102237"/>
    <w:rsid w:val="00103DAF"/>
    <w:rsid w:val="00104944"/>
    <w:rsid w:val="0011416D"/>
    <w:rsid w:val="0011695C"/>
    <w:rsid w:val="00117C27"/>
    <w:rsid w:val="001260EA"/>
    <w:rsid w:val="0012619B"/>
    <w:rsid w:val="0013041B"/>
    <w:rsid w:val="001341E9"/>
    <w:rsid w:val="00135C1B"/>
    <w:rsid w:val="00136E05"/>
    <w:rsid w:val="001423B4"/>
    <w:rsid w:val="00146F35"/>
    <w:rsid w:val="0014707D"/>
    <w:rsid w:val="001500B5"/>
    <w:rsid w:val="00150782"/>
    <w:rsid w:val="00152B63"/>
    <w:rsid w:val="00155146"/>
    <w:rsid w:val="00157802"/>
    <w:rsid w:val="00165BCB"/>
    <w:rsid w:val="001665D0"/>
    <w:rsid w:val="001752C8"/>
    <w:rsid w:val="001757F5"/>
    <w:rsid w:val="001814A2"/>
    <w:rsid w:val="00182A4F"/>
    <w:rsid w:val="00184006"/>
    <w:rsid w:val="00184C32"/>
    <w:rsid w:val="001860B5"/>
    <w:rsid w:val="0018691E"/>
    <w:rsid w:val="00190FF9"/>
    <w:rsid w:val="001915B9"/>
    <w:rsid w:val="001A0EAE"/>
    <w:rsid w:val="001A1073"/>
    <w:rsid w:val="001A1090"/>
    <w:rsid w:val="001A4473"/>
    <w:rsid w:val="001A53FA"/>
    <w:rsid w:val="001A6ED4"/>
    <w:rsid w:val="001A7347"/>
    <w:rsid w:val="001B38BE"/>
    <w:rsid w:val="001B4B59"/>
    <w:rsid w:val="001B4C95"/>
    <w:rsid w:val="001C26D4"/>
    <w:rsid w:val="001C61B6"/>
    <w:rsid w:val="001C662A"/>
    <w:rsid w:val="001D40F6"/>
    <w:rsid w:val="001D5E25"/>
    <w:rsid w:val="001E09BC"/>
    <w:rsid w:val="001E3C5D"/>
    <w:rsid w:val="001E648A"/>
    <w:rsid w:val="001F02A0"/>
    <w:rsid w:val="001F2CBC"/>
    <w:rsid w:val="001F37FA"/>
    <w:rsid w:val="001F4451"/>
    <w:rsid w:val="00202843"/>
    <w:rsid w:val="00202B27"/>
    <w:rsid w:val="00203057"/>
    <w:rsid w:val="002049B6"/>
    <w:rsid w:val="00207FA5"/>
    <w:rsid w:val="00217F4C"/>
    <w:rsid w:val="00221617"/>
    <w:rsid w:val="002220C9"/>
    <w:rsid w:val="00235A15"/>
    <w:rsid w:val="00236EB2"/>
    <w:rsid w:val="002434B8"/>
    <w:rsid w:val="002437E3"/>
    <w:rsid w:val="00244103"/>
    <w:rsid w:val="00246BEA"/>
    <w:rsid w:val="00247638"/>
    <w:rsid w:val="00247C5F"/>
    <w:rsid w:val="00250BF8"/>
    <w:rsid w:val="00252C35"/>
    <w:rsid w:val="00253B4A"/>
    <w:rsid w:val="00255B56"/>
    <w:rsid w:val="00265FB7"/>
    <w:rsid w:val="0026602C"/>
    <w:rsid w:val="002664B6"/>
    <w:rsid w:val="00275104"/>
    <w:rsid w:val="00280779"/>
    <w:rsid w:val="0028444A"/>
    <w:rsid w:val="0028491C"/>
    <w:rsid w:val="00284E2E"/>
    <w:rsid w:val="00285F2E"/>
    <w:rsid w:val="002864B7"/>
    <w:rsid w:val="0029277C"/>
    <w:rsid w:val="0029763B"/>
    <w:rsid w:val="00297E63"/>
    <w:rsid w:val="002A5E15"/>
    <w:rsid w:val="002B1581"/>
    <w:rsid w:val="002B1966"/>
    <w:rsid w:val="002B3A7B"/>
    <w:rsid w:val="002C30D4"/>
    <w:rsid w:val="002D0EB0"/>
    <w:rsid w:val="002D1A19"/>
    <w:rsid w:val="002D3F77"/>
    <w:rsid w:val="002D568D"/>
    <w:rsid w:val="002E14FF"/>
    <w:rsid w:val="002F6E64"/>
    <w:rsid w:val="00303FC6"/>
    <w:rsid w:val="00310F18"/>
    <w:rsid w:val="00311D93"/>
    <w:rsid w:val="003133EC"/>
    <w:rsid w:val="0031469E"/>
    <w:rsid w:val="00316A30"/>
    <w:rsid w:val="003259B0"/>
    <w:rsid w:val="00326E4C"/>
    <w:rsid w:val="003305B3"/>
    <w:rsid w:val="00331D21"/>
    <w:rsid w:val="00333007"/>
    <w:rsid w:val="00334459"/>
    <w:rsid w:val="00336EB8"/>
    <w:rsid w:val="003372D8"/>
    <w:rsid w:val="003410FE"/>
    <w:rsid w:val="00342E76"/>
    <w:rsid w:val="0034355E"/>
    <w:rsid w:val="00345A51"/>
    <w:rsid w:val="00350C27"/>
    <w:rsid w:val="003522EC"/>
    <w:rsid w:val="00362676"/>
    <w:rsid w:val="00362C45"/>
    <w:rsid w:val="0036357D"/>
    <w:rsid w:val="00365834"/>
    <w:rsid w:val="00365860"/>
    <w:rsid w:val="003658D6"/>
    <w:rsid w:val="00372DBC"/>
    <w:rsid w:val="00373F13"/>
    <w:rsid w:val="00376596"/>
    <w:rsid w:val="00381436"/>
    <w:rsid w:val="00381FDC"/>
    <w:rsid w:val="00382B26"/>
    <w:rsid w:val="00392DFF"/>
    <w:rsid w:val="00396CF8"/>
    <w:rsid w:val="0039757C"/>
    <w:rsid w:val="00397A87"/>
    <w:rsid w:val="003A08A7"/>
    <w:rsid w:val="003A2EDF"/>
    <w:rsid w:val="003A3F24"/>
    <w:rsid w:val="003A4F2E"/>
    <w:rsid w:val="003A7A39"/>
    <w:rsid w:val="003B155D"/>
    <w:rsid w:val="003B2235"/>
    <w:rsid w:val="003B353F"/>
    <w:rsid w:val="003B6542"/>
    <w:rsid w:val="003C6187"/>
    <w:rsid w:val="003C7F72"/>
    <w:rsid w:val="003D0D27"/>
    <w:rsid w:val="003D1770"/>
    <w:rsid w:val="003D2814"/>
    <w:rsid w:val="003D4D24"/>
    <w:rsid w:val="003D4EF1"/>
    <w:rsid w:val="003D542A"/>
    <w:rsid w:val="003D5E22"/>
    <w:rsid w:val="003F15B5"/>
    <w:rsid w:val="003F1AAC"/>
    <w:rsid w:val="003F1CC1"/>
    <w:rsid w:val="003F55D8"/>
    <w:rsid w:val="003F664F"/>
    <w:rsid w:val="003F7382"/>
    <w:rsid w:val="00406E21"/>
    <w:rsid w:val="00410B0B"/>
    <w:rsid w:val="0041249F"/>
    <w:rsid w:val="00412999"/>
    <w:rsid w:val="00416CA9"/>
    <w:rsid w:val="00417496"/>
    <w:rsid w:val="00422A3E"/>
    <w:rsid w:val="00424DAD"/>
    <w:rsid w:val="0042630F"/>
    <w:rsid w:val="00427057"/>
    <w:rsid w:val="004272CB"/>
    <w:rsid w:val="004318DE"/>
    <w:rsid w:val="004358BD"/>
    <w:rsid w:val="0043697F"/>
    <w:rsid w:val="00436FCB"/>
    <w:rsid w:val="00437620"/>
    <w:rsid w:val="004378D4"/>
    <w:rsid w:val="0044030D"/>
    <w:rsid w:val="004407F5"/>
    <w:rsid w:val="00441F9E"/>
    <w:rsid w:val="004426E6"/>
    <w:rsid w:val="004455BD"/>
    <w:rsid w:val="00446416"/>
    <w:rsid w:val="0045274C"/>
    <w:rsid w:val="00455C5E"/>
    <w:rsid w:val="0045707A"/>
    <w:rsid w:val="00463746"/>
    <w:rsid w:val="00463ED5"/>
    <w:rsid w:val="0046537D"/>
    <w:rsid w:val="0046679C"/>
    <w:rsid w:val="004676A2"/>
    <w:rsid w:val="0047378A"/>
    <w:rsid w:val="0047516E"/>
    <w:rsid w:val="0047625E"/>
    <w:rsid w:val="004775F6"/>
    <w:rsid w:val="00477DDB"/>
    <w:rsid w:val="00482A01"/>
    <w:rsid w:val="0048345C"/>
    <w:rsid w:val="00485E94"/>
    <w:rsid w:val="0049235D"/>
    <w:rsid w:val="00493CAF"/>
    <w:rsid w:val="0049475B"/>
    <w:rsid w:val="004A59B7"/>
    <w:rsid w:val="004A6120"/>
    <w:rsid w:val="004B20D8"/>
    <w:rsid w:val="004B4265"/>
    <w:rsid w:val="004B52A0"/>
    <w:rsid w:val="004B6C02"/>
    <w:rsid w:val="004C1CE0"/>
    <w:rsid w:val="004C24C0"/>
    <w:rsid w:val="004D1A6D"/>
    <w:rsid w:val="004D25D9"/>
    <w:rsid w:val="004D7C8C"/>
    <w:rsid w:val="004E127E"/>
    <w:rsid w:val="004E5677"/>
    <w:rsid w:val="004E5BE1"/>
    <w:rsid w:val="004F4057"/>
    <w:rsid w:val="004F66FB"/>
    <w:rsid w:val="0050187A"/>
    <w:rsid w:val="005027C1"/>
    <w:rsid w:val="00507851"/>
    <w:rsid w:val="005122B3"/>
    <w:rsid w:val="00516179"/>
    <w:rsid w:val="00522157"/>
    <w:rsid w:val="005234C3"/>
    <w:rsid w:val="0052365C"/>
    <w:rsid w:val="00523F18"/>
    <w:rsid w:val="005274E9"/>
    <w:rsid w:val="00530565"/>
    <w:rsid w:val="005311B5"/>
    <w:rsid w:val="00531AC9"/>
    <w:rsid w:val="005326D7"/>
    <w:rsid w:val="00533E97"/>
    <w:rsid w:val="00535ED6"/>
    <w:rsid w:val="00537A98"/>
    <w:rsid w:val="005419EC"/>
    <w:rsid w:val="0055032E"/>
    <w:rsid w:val="00552D8D"/>
    <w:rsid w:val="00553AF3"/>
    <w:rsid w:val="00553F00"/>
    <w:rsid w:val="005554EB"/>
    <w:rsid w:val="005572EB"/>
    <w:rsid w:val="00560E1C"/>
    <w:rsid w:val="005630F2"/>
    <w:rsid w:val="005660D7"/>
    <w:rsid w:val="0057156E"/>
    <w:rsid w:val="00572212"/>
    <w:rsid w:val="00573483"/>
    <w:rsid w:val="005743F9"/>
    <w:rsid w:val="00580DE4"/>
    <w:rsid w:val="005811A7"/>
    <w:rsid w:val="00581853"/>
    <w:rsid w:val="0058337C"/>
    <w:rsid w:val="005847F3"/>
    <w:rsid w:val="0058592C"/>
    <w:rsid w:val="00585A1B"/>
    <w:rsid w:val="00587E32"/>
    <w:rsid w:val="00592418"/>
    <w:rsid w:val="00592B77"/>
    <w:rsid w:val="005A1104"/>
    <w:rsid w:val="005A5DE7"/>
    <w:rsid w:val="005A7952"/>
    <w:rsid w:val="005B1229"/>
    <w:rsid w:val="005B1550"/>
    <w:rsid w:val="005B1C55"/>
    <w:rsid w:val="005B4263"/>
    <w:rsid w:val="005B4626"/>
    <w:rsid w:val="005B4E74"/>
    <w:rsid w:val="005B4EE2"/>
    <w:rsid w:val="005B500A"/>
    <w:rsid w:val="005B5241"/>
    <w:rsid w:val="005B7DC7"/>
    <w:rsid w:val="005C02B1"/>
    <w:rsid w:val="005D1184"/>
    <w:rsid w:val="005D4784"/>
    <w:rsid w:val="005D54AC"/>
    <w:rsid w:val="005E006B"/>
    <w:rsid w:val="005E1E30"/>
    <w:rsid w:val="005E45D8"/>
    <w:rsid w:val="005E5435"/>
    <w:rsid w:val="005F12B5"/>
    <w:rsid w:val="005F2768"/>
    <w:rsid w:val="005F33CC"/>
    <w:rsid w:val="005F7A82"/>
    <w:rsid w:val="0060351E"/>
    <w:rsid w:val="00603996"/>
    <w:rsid w:val="006039DA"/>
    <w:rsid w:val="00604DE0"/>
    <w:rsid w:val="00605E31"/>
    <w:rsid w:val="00610BB0"/>
    <w:rsid w:val="00616BB7"/>
    <w:rsid w:val="0062240D"/>
    <w:rsid w:val="00623087"/>
    <w:rsid w:val="006233BE"/>
    <w:rsid w:val="0062413E"/>
    <w:rsid w:val="00630887"/>
    <w:rsid w:val="00631D12"/>
    <w:rsid w:val="00640600"/>
    <w:rsid w:val="00644DF1"/>
    <w:rsid w:val="00644ED5"/>
    <w:rsid w:val="00646F87"/>
    <w:rsid w:val="006470E9"/>
    <w:rsid w:val="0065157B"/>
    <w:rsid w:val="00655FA6"/>
    <w:rsid w:val="00661982"/>
    <w:rsid w:val="00661AD2"/>
    <w:rsid w:val="00664DCD"/>
    <w:rsid w:val="0066503B"/>
    <w:rsid w:val="00665116"/>
    <w:rsid w:val="00665211"/>
    <w:rsid w:val="00670EAF"/>
    <w:rsid w:val="0067728E"/>
    <w:rsid w:val="006778DB"/>
    <w:rsid w:val="00691DA0"/>
    <w:rsid w:val="0069386B"/>
    <w:rsid w:val="006951E7"/>
    <w:rsid w:val="00695D25"/>
    <w:rsid w:val="00697BF5"/>
    <w:rsid w:val="006A384A"/>
    <w:rsid w:val="006A45EA"/>
    <w:rsid w:val="006A6210"/>
    <w:rsid w:val="006B1292"/>
    <w:rsid w:val="006B15AC"/>
    <w:rsid w:val="006B4FE9"/>
    <w:rsid w:val="006B75AC"/>
    <w:rsid w:val="006B7C2C"/>
    <w:rsid w:val="006C15E3"/>
    <w:rsid w:val="006C24C5"/>
    <w:rsid w:val="006C2A5C"/>
    <w:rsid w:val="006D35EC"/>
    <w:rsid w:val="006D3CC3"/>
    <w:rsid w:val="006E456B"/>
    <w:rsid w:val="006F1202"/>
    <w:rsid w:val="006F1D51"/>
    <w:rsid w:val="006F3971"/>
    <w:rsid w:val="006F476B"/>
    <w:rsid w:val="007034D1"/>
    <w:rsid w:val="0070513F"/>
    <w:rsid w:val="00706697"/>
    <w:rsid w:val="007066A0"/>
    <w:rsid w:val="00707E32"/>
    <w:rsid w:val="00716017"/>
    <w:rsid w:val="00716CAE"/>
    <w:rsid w:val="00726F94"/>
    <w:rsid w:val="007329CB"/>
    <w:rsid w:val="007358D6"/>
    <w:rsid w:val="00737E56"/>
    <w:rsid w:val="00744E28"/>
    <w:rsid w:val="00745F94"/>
    <w:rsid w:val="007474DA"/>
    <w:rsid w:val="007476DD"/>
    <w:rsid w:val="0075487A"/>
    <w:rsid w:val="00754C14"/>
    <w:rsid w:val="00756A07"/>
    <w:rsid w:val="007609DB"/>
    <w:rsid w:val="0076529F"/>
    <w:rsid w:val="0076664D"/>
    <w:rsid w:val="00770373"/>
    <w:rsid w:val="0077478B"/>
    <w:rsid w:val="00775C5B"/>
    <w:rsid w:val="007773DF"/>
    <w:rsid w:val="00782BE8"/>
    <w:rsid w:val="007838CF"/>
    <w:rsid w:val="00783ACC"/>
    <w:rsid w:val="0079042B"/>
    <w:rsid w:val="00791445"/>
    <w:rsid w:val="00791748"/>
    <w:rsid w:val="00791BAB"/>
    <w:rsid w:val="007925F1"/>
    <w:rsid w:val="00793AB2"/>
    <w:rsid w:val="007962A4"/>
    <w:rsid w:val="00797DFA"/>
    <w:rsid w:val="007A32B6"/>
    <w:rsid w:val="007A3639"/>
    <w:rsid w:val="007A3E70"/>
    <w:rsid w:val="007A559D"/>
    <w:rsid w:val="007B1AF3"/>
    <w:rsid w:val="007B1BB0"/>
    <w:rsid w:val="007B2921"/>
    <w:rsid w:val="007B34B6"/>
    <w:rsid w:val="007B3BAD"/>
    <w:rsid w:val="007B448A"/>
    <w:rsid w:val="007B7EDE"/>
    <w:rsid w:val="007C05D9"/>
    <w:rsid w:val="007C19E0"/>
    <w:rsid w:val="007C4129"/>
    <w:rsid w:val="007C4B5C"/>
    <w:rsid w:val="007C50FA"/>
    <w:rsid w:val="007C7D85"/>
    <w:rsid w:val="007D3911"/>
    <w:rsid w:val="007E11F1"/>
    <w:rsid w:val="007E35A2"/>
    <w:rsid w:val="007E64C7"/>
    <w:rsid w:val="007E7B10"/>
    <w:rsid w:val="007F14CD"/>
    <w:rsid w:val="007F1D43"/>
    <w:rsid w:val="007F1D4B"/>
    <w:rsid w:val="007F468D"/>
    <w:rsid w:val="007F51AA"/>
    <w:rsid w:val="007F5C39"/>
    <w:rsid w:val="007F6DF2"/>
    <w:rsid w:val="007F76E3"/>
    <w:rsid w:val="00801974"/>
    <w:rsid w:val="00801B45"/>
    <w:rsid w:val="00802103"/>
    <w:rsid w:val="00803018"/>
    <w:rsid w:val="00805B38"/>
    <w:rsid w:val="0080752E"/>
    <w:rsid w:val="00812177"/>
    <w:rsid w:val="0081355F"/>
    <w:rsid w:val="00824376"/>
    <w:rsid w:val="008266A3"/>
    <w:rsid w:val="00826CBE"/>
    <w:rsid w:val="0082763F"/>
    <w:rsid w:val="0083734A"/>
    <w:rsid w:val="00844AC8"/>
    <w:rsid w:val="00845CEF"/>
    <w:rsid w:val="00847421"/>
    <w:rsid w:val="00854A68"/>
    <w:rsid w:val="00865E55"/>
    <w:rsid w:val="008724A5"/>
    <w:rsid w:val="0087354A"/>
    <w:rsid w:val="008750C8"/>
    <w:rsid w:val="00880558"/>
    <w:rsid w:val="00881368"/>
    <w:rsid w:val="0088292C"/>
    <w:rsid w:val="0088794F"/>
    <w:rsid w:val="0089179B"/>
    <w:rsid w:val="00893215"/>
    <w:rsid w:val="008938E0"/>
    <w:rsid w:val="00896918"/>
    <w:rsid w:val="00897C3F"/>
    <w:rsid w:val="008A59C5"/>
    <w:rsid w:val="008B0EBE"/>
    <w:rsid w:val="008B2905"/>
    <w:rsid w:val="008C051E"/>
    <w:rsid w:val="008C7899"/>
    <w:rsid w:val="008C7BC9"/>
    <w:rsid w:val="008D2D50"/>
    <w:rsid w:val="008D72EC"/>
    <w:rsid w:val="008D75FA"/>
    <w:rsid w:val="008E1E2D"/>
    <w:rsid w:val="008E548E"/>
    <w:rsid w:val="008F2B73"/>
    <w:rsid w:val="008F3558"/>
    <w:rsid w:val="008F527D"/>
    <w:rsid w:val="00905030"/>
    <w:rsid w:val="0090542C"/>
    <w:rsid w:val="00906226"/>
    <w:rsid w:val="00910E10"/>
    <w:rsid w:val="00913A14"/>
    <w:rsid w:val="009214EB"/>
    <w:rsid w:val="009272D7"/>
    <w:rsid w:val="00927D51"/>
    <w:rsid w:val="00931D86"/>
    <w:rsid w:val="00933229"/>
    <w:rsid w:val="009362A1"/>
    <w:rsid w:val="00936E81"/>
    <w:rsid w:val="00945487"/>
    <w:rsid w:val="00946861"/>
    <w:rsid w:val="009557DB"/>
    <w:rsid w:val="00955C22"/>
    <w:rsid w:val="0096003D"/>
    <w:rsid w:val="00960C1F"/>
    <w:rsid w:val="00963A0D"/>
    <w:rsid w:val="00963BA3"/>
    <w:rsid w:val="00964CD3"/>
    <w:rsid w:val="00966DB7"/>
    <w:rsid w:val="009677FC"/>
    <w:rsid w:val="00967B02"/>
    <w:rsid w:val="00970324"/>
    <w:rsid w:val="00971C0E"/>
    <w:rsid w:val="00972179"/>
    <w:rsid w:val="0097469F"/>
    <w:rsid w:val="009746E0"/>
    <w:rsid w:val="0097487E"/>
    <w:rsid w:val="00974995"/>
    <w:rsid w:val="00974E4A"/>
    <w:rsid w:val="00976622"/>
    <w:rsid w:val="00980379"/>
    <w:rsid w:val="00982AF8"/>
    <w:rsid w:val="0098438D"/>
    <w:rsid w:val="00985F70"/>
    <w:rsid w:val="0099127B"/>
    <w:rsid w:val="00995579"/>
    <w:rsid w:val="00997E4A"/>
    <w:rsid w:val="009A0620"/>
    <w:rsid w:val="009A4275"/>
    <w:rsid w:val="009A458A"/>
    <w:rsid w:val="009A4C97"/>
    <w:rsid w:val="009B190F"/>
    <w:rsid w:val="009B4211"/>
    <w:rsid w:val="009B7E6E"/>
    <w:rsid w:val="009C3085"/>
    <w:rsid w:val="009C3B2D"/>
    <w:rsid w:val="009D1554"/>
    <w:rsid w:val="009D1B36"/>
    <w:rsid w:val="009D2849"/>
    <w:rsid w:val="009E19E0"/>
    <w:rsid w:val="009F0295"/>
    <w:rsid w:val="009F2BD1"/>
    <w:rsid w:val="00A0742A"/>
    <w:rsid w:val="00A07DEB"/>
    <w:rsid w:val="00A10C48"/>
    <w:rsid w:val="00A1279F"/>
    <w:rsid w:val="00A16E9E"/>
    <w:rsid w:val="00A225BF"/>
    <w:rsid w:val="00A22612"/>
    <w:rsid w:val="00A2367A"/>
    <w:rsid w:val="00A261E6"/>
    <w:rsid w:val="00A26BC6"/>
    <w:rsid w:val="00A3086F"/>
    <w:rsid w:val="00A330FC"/>
    <w:rsid w:val="00A4094B"/>
    <w:rsid w:val="00A4164F"/>
    <w:rsid w:val="00A418D2"/>
    <w:rsid w:val="00A42196"/>
    <w:rsid w:val="00A4572C"/>
    <w:rsid w:val="00A519A0"/>
    <w:rsid w:val="00A5263D"/>
    <w:rsid w:val="00A54FFC"/>
    <w:rsid w:val="00A602B6"/>
    <w:rsid w:val="00A62D23"/>
    <w:rsid w:val="00A63086"/>
    <w:rsid w:val="00A65E84"/>
    <w:rsid w:val="00A66036"/>
    <w:rsid w:val="00A72C24"/>
    <w:rsid w:val="00A74044"/>
    <w:rsid w:val="00A83328"/>
    <w:rsid w:val="00A837DB"/>
    <w:rsid w:val="00A847C5"/>
    <w:rsid w:val="00A85F11"/>
    <w:rsid w:val="00A86B41"/>
    <w:rsid w:val="00A92E58"/>
    <w:rsid w:val="00A93284"/>
    <w:rsid w:val="00A93300"/>
    <w:rsid w:val="00A93878"/>
    <w:rsid w:val="00AA37DF"/>
    <w:rsid w:val="00AB1A68"/>
    <w:rsid w:val="00AB7F66"/>
    <w:rsid w:val="00AC15DF"/>
    <w:rsid w:val="00AC69A4"/>
    <w:rsid w:val="00AD1E32"/>
    <w:rsid w:val="00AD26CF"/>
    <w:rsid w:val="00AD67AB"/>
    <w:rsid w:val="00AE0CD1"/>
    <w:rsid w:val="00AE4399"/>
    <w:rsid w:val="00AF16E4"/>
    <w:rsid w:val="00AF35C7"/>
    <w:rsid w:val="00B0376A"/>
    <w:rsid w:val="00B03FB6"/>
    <w:rsid w:val="00B04DEE"/>
    <w:rsid w:val="00B134AB"/>
    <w:rsid w:val="00B16063"/>
    <w:rsid w:val="00B1762F"/>
    <w:rsid w:val="00B1775C"/>
    <w:rsid w:val="00B211B4"/>
    <w:rsid w:val="00B21560"/>
    <w:rsid w:val="00B22264"/>
    <w:rsid w:val="00B271C3"/>
    <w:rsid w:val="00B34622"/>
    <w:rsid w:val="00B35EA6"/>
    <w:rsid w:val="00B37EEE"/>
    <w:rsid w:val="00B46F9E"/>
    <w:rsid w:val="00B5159B"/>
    <w:rsid w:val="00B553AE"/>
    <w:rsid w:val="00B55FCA"/>
    <w:rsid w:val="00B67A9A"/>
    <w:rsid w:val="00B70127"/>
    <w:rsid w:val="00B73A99"/>
    <w:rsid w:val="00B750D9"/>
    <w:rsid w:val="00B75EBB"/>
    <w:rsid w:val="00B80541"/>
    <w:rsid w:val="00B832DE"/>
    <w:rsid w:val="00B84267"/>
    <w:rsid w:val="00B843EC"/>
    <w:rsid w:val="00B8758A"/>
    <w:rsid w:val="00B87633"/>
    <w:rsid w:val="00B879DB"/>
    <w:rsid w:val="00B90A35"/>
    <w:rsid w:val="00B91257"/>
    <w:rsid w:val="00B912AE"/>
    <w:rsid w:val="00BA30C8"/>
    <w:rsid w:val="00BA35BC"/>
    <w:rsid w:val="00BA3B4C"/>
    <w:rsid w:val="00BA4A64"/>
    <w:rsid w:val="00BB0781"/>
    <w:rsid w:val="00BB146F"/>
    <w:rsid w:val="00BB390D"/>
    <w:rsid w:val="00BB6B24"/>
    <w:rsid w:val="00BB764C"/>
    <w:rsid w:val="00BC30FA"/>
    <w:rsid w:val="00BE36F5"/>
    <w:rsid w:val="00BE3E34"/>
    <w:rsid w:val="00BE7667"/>
    <w:rsid w:val="00BF0A41"/>
    <w:rsid w:val="00BF134A"/>
    <w:rsid w:val="00BF1B32"/>
    <w:rsid w:val="00BF2197"/>
    <w:rsid w:val="00BF2CCC"/>
    <w:rsid w:val="00BF37B5"/>
    <w:rsid w:val="00BF497E"/>
    <w:rsid w:val="00BF5FCF"/>
    <w:rsid w:val="00BF6C3A"/>
    <w:rsid w:val="00C077AC"/>
    <w:rsid w:val="00C11807"/>
    <w:rsid w:val="00C14352"/>
    <w:rsid w:val="00C26FBB"/>
    <w:rsid w:val="00C33A29"/>
    <w:rsid w:val="00C34AF9"/>
    <w:rsid w:val="00C36E29"/>
    <w:rsid w:val="00C374CB"/>
    <w:rsid w:val="00C503BA"/>
    <w:rsid w:val="00C512D7"/>
    <w:rsid w:val="00C51BAE"/>
    <w:rsid w:val="00C5229F"/>
    <w:rsid w:val="00C52C25"/>
    <w:rsid w:val="00C5303A"/>
    <w:rsid w:val="00C53568"/>
    <w:rsid w:val="00C55754"/>
    <w:rsid w:val="00C603F3"/>
    <w:rsid w:val="00C62914"/>
    <w:rsid w:val="00C62F05"/>
    <w:rsid w:val="00C62FF5"/>
    <w:rsid w:val="00C6365A"/>
    <w:rsid w:val="00C658A2"/>
    <w:rsid w:val="00C66D7A"/>
    <w:rsid w:val="00C70CE0"/>
    <w:rsid w:val="00C717A8"/>
    <w:rsid w:val="00C71D87"/>
    <w:rsid w:val="00C74A91"/>
    <w:rsid w:val="00C80326"/>
    <w:rsid w:val="00C84F9C"/>
    <w:rsid w:val="00C85D74"/>
    <w:rsid w:val="00C86207"/>
    <w:rsid w:val="00C868A7"/>
    <w:rsid w:val="00C86CB3"/>
    <w:rsid w:val="00C86FDC"/>
    <w:rsid w:val="00C9145A"/>
    <w:rsid w:val="00C926B6"/>
    <w:rsid w:val="00C941D1"/>
    <w:rsid w:val="00C94966"/>
    <w:rsid w:val="00C963EB"/>
    <w:rsid w:val="00C9736E"/>
    <w:rsid w:val="00C973CE"/>
    <w:rsid w:val="00CA0747"/>
    <w:rsid w:val="00CA2C0A"/>
    <w:rsid w:val="00CA449C"/>
    <w:rsid w:val="00CA6292"/>
    <w:rsid w:val="00CB1D05"/>
    <w:rsid w:val="00CB2A59"/>
    <w:rsid w:val="00CB3AAA"/>
    <w:rsid w:val="00CB4849"/>
    <w:rsid w:val="00CB4860"/>
    <w:rsid w:val="00CB5475"/>
    <w:rsid w:val="00CC0457"/>
    <w:rsid w:val="00CC0E3B"/>
    <w:rsid w:val="00CC3B3C"/>
    <w:rsid w:val="00CC54B8"/>
    <w:rsid w:val="00CD01F4"/>
    <w:rsid w:val="00CD38BF"/>
    <w:rsid w:val="00CD48F8"/>
    <w:rsid w:val="00CD4AA9"/>
    <w:rsid w:val="00CD4E45"/>
    <w:rsid w:val="00CE00ED"/>
    <w:rsid w:val="00CE193D"/>
    <w:rsid w:val="00CE4366"/>
    <w:rsid w:val="00CE4F1F"/>
    <w:rsid w:val="00CE603E"/>
    <w:rsid w:val="00CE7AB8"/>
    <w:rsid w:val="00CF0080"/>
    <w:rsid w:val="00CF0D2C"/>
    <w:rsid w:val="00CF151D"/>
    <w:rsid w:val="00CF3801"/>
    <w:rsid w:val="00CF3A2C"/>
    <w:rsid w:val="00CF7868"/>
    <w:rsid w:val="00CF7EDE"/>
    <w:rsid w:val="00D027CD"/>
    <w:rsid w:val="00D0428F"/>
    <w:rsid w:val="00D04BCD"/>
    <w:rsid w:val="00D05CE4"/>
    <w:rsid w:val="00D15C5C"/>
    <w:rsid w:val="00D17BAE"/>
    <w:rsid w:val="00D20724"/>
    <w:rsid w:val="00D210A6"/>
    <w:rsid w:val="00D25CA0"/>
    <w:rsid w:val="00D308F5"/>
    <w:rsid w:val="00D312FE"/>
    <w:rsid w:val="00D33AAE"/>
    <w:rsid w:val="00D35283"/>
    <w:rsid w:val="00D42ECE"/>
    <w:rsid w:val="00D50A50"/>
    <w:rsid w:val="00D50EE8"/>
    <w:rsid w:val="00D51355"/>
    <w:rsid w:val="00D53093"/>
    <w:rsid w:val="00D54C99"/>
    <w:rsid w:val="00D5573D"/>
    <w:rsid w:val="00D60D08"/>
    <w:rsid w:val="00D6142A"/>
    <w:rsid w:val="00D61EF1"/>
    <w:rsid w:val="00D6426F"/>
    <w:rsid w:val="00D6632C"/>
    <w:rsid w:val="00D66C62"/>
    <w:rsid w:val="00D670A0"/>
    <w:rsid w:val="00D74184"/>
    <w:rsid w:val="00D7670C"/>
    <w:rsid w:val="00D77801"/>
    <w:rsid w:val="00D80FE8"/>
    <w:rsid w:val="00D87B87"/>
    <w:rsid w:val="00D91D07"/>
    <w:rsid w:val="00D9295F"/>
    <w:rsid w:val="00D940F0"/>
    <w:rsid w:val="00DA5656"/>
    <w:rsid w:val="00DA5D60"/>
    <w:rsid w:val="00DA6ECA"/>
    <w:rsid w:val="00DA7333"/>
    <w:rsid w:val="00DB092F"/>
    <w:rsid w:val="00DB3BE9"/>
    <w:rsid w:val="00DB61B6"/>
    <w:rsid w:val="00DB6F19"/>
    <w:rsid w:val="00DC1B5A"/>
    <w:rsid w:val="00DC26DF"/>
    <w:rsid w:val="00DC5E38"/>
    <w:rsid w:val="00DE293B"/>
    <w:rsid w:val="00DE3643"/>
    <w:rsid w:val="00DE6C59"/>
    <w:rsid w:val="00DF02E1"/>
    <w:rsid w:val="00DF33D2"/>
    <w:rsid w:val="00DF3A5C"/>
    <w:rsid w:val="00DF5B04"/>
    <w:rsid w:val="00E01115"/>
    <w:rsid w:val="00E01524"/>
    <w:rsid w:val="00E0290E"/>
    <w:rsid w:val="00E0519C"/>
    <w:rsid w:val="00E0719F"/>
    <w:rsid w:val="00E1203F"/>
    <w:rsid w:val="00E13F37"/>
    <w:rsid w:val="00E15DD7"/>
    <w:rsid w:val="00E22743"/>
    <w:rsid w:val="00E24500"/>
    <w:rsid w:val="00E25F2D"/>
    <w:rsid w:val="00E27DF3"/>
    <w:rsid w:val="00E32CA3"/>
    <w:rsid w:val="00E33732"/>
    <w:rsid w:val="00E3544F"/>
    <w:rsid w:val="00E369D0"/>
    <w:rsid w:val="00E418F1"/>
    <w:rsid w:val="00E43993"/>
    <w:rsid w:val="00E4559A"/>
    <w:rsid w:val="00E46B4A"/>
    <w:rsid w:val="00E51A9F"/>
    <w:rsid w:val="00E53C90"/>
    <w:rsid w:val="00E562BC"/>
    <w:rsid w:val="00E57F05"/>
    <w:rsid w:val="00E6023A"/>
    <w:rsid w:val="00E6728F"/>
    <w:rsid w:val="00E72ABE"/>
    <w:rsid w:val="00E82580"/>
    <w:rsid w:val="00E82D33"/>
    <w:rsid w:val="00E85161"/>
    <w:rsid w:val="00E90A2D"/>
    <w:rsid w:val="00E91B19"/>
    <w:rsid w:val="00E95038"/>
    <w:rsid w:val="00E965A1"/>
    <w:rsid w:val="00E971EF"/>
    <w:rsid w:val="00EA01AC"/>
    <w:rsid w:val="00EA04F5"/>
    <w:rsid w:val="00EA2812"/>
    <w:rsid w:val="00EA43C4"/>
    <w:rsid w:val="00EA59E2"/>
    <w:rsid w:val="00EA759C"/>
    <w:rsid w:val="00EB15C5"/>
    <w:rsid w:val="00EB32CD"/>
    <w:rsid w:val="00EB35DB"/>
    <w:rsid w:val="00EB3BA7"/>
    <w:rsid w:val="00EB55F5"/>
    <w:rsid w:val="00EB5E29"/>
    <w:rsid w:val="00EC467C"/>
    <w:rsid w:val="00EC652E"/>
    <w:rsid w:val="00EC6A01"/>
    <w:rsid w:val="00ED0230"/>
    <w:rsid w:val="00ED0C1A"/>
    <w:rsid w:val="00ED21A5"/>
    <w:rsid w:val="00ED4134"/>
    <w:rsid w:val="00EE6B6D"/>
    <w:rsid w:val="00EF4A79"/>
    <w:rsid w:val="00F02241"/>
    <w:rsid w:val="00F02543"/>
    <w:rsid w:val="00F0478E"/>
    <w:rsid w:val="00F0680D"/>
    <w:rsid w:val="00F11298"/>
    <w:rsid w:val="00F11EBD"/>
    <w:rsid w:val="00F12D5F"/>
    <w:rsid w:val="00F15017"/>
    <w:rsid w:val="00F17973"/>
    <w:rsid w:val="00F21BD9"/>
    <w:rsid w:val="00F30951"/>
    <w:rsid w:val="00F30F74"/>
    <w:rsid w:val="00F32DE8"/>
    <w:rsid w:val="00F367BA"/>
    <w:rsid w:val="00F375D5"/>
    <w:rsid w:val="00F42C05"/>
    <w:rsid w:val="00F431BF"/>
    <w:rsid w:val="00F44B55"/>
    <w:rsid w:val="00F52A35"/>
    <w:rsid w:val="00F54C8D"/>
    <w:rsid w:val="00F56916"/>
    <w:rsid w:val="00F60A2A"/>
    <w:rsid w:val="00F623DA"/>
    <w:rsid w:val="00F66C35"/>
    <w:rsid w:val="00F7036E"/>
    <w:rsid w:val="00F70A94"/>
    <w:rsid w:val="00F736C9"/>
    <w:rsid w:val="00F763A9"/>
    <w:rsid w:val="00F832FF"/>
    <w:rsid w:val="00F84925"/>
    <w:rsid w:val="00F851A8"/>
    <w:rsid w:val="00F87FAC"/>
    <w:rsid w:val="00F97343"/>
    <w:rsid w:val="00FA5477"/>
    <w:rsid w:val="00FA6F50"/>
    <w:rsid w:val="00FB0692"/>
    <w:rsid w:val="00FB0CDB"/>
    <w:rsid w:val="00FB10F6"/>
    <w:rsid w:val="00FB6055"/>
    <w:rsid w:val="00FC274F"/>
    <w:rsid w:val="00FC2FFF"/>
    <w:rsid w:val="00FC38E9"/>
    <w:rsid w:val="00FC43BB"/>
    <w:rsid w:val="00FC49E1"/>
    <w:rsid w:val="00FD0FA9"/>
    <w:rsid w:val="00FD1BA2"/>
    <w:rsid w:val="00FD1CA6"/>
    <w:rsid w:val="00FD40AD"/>
    <w:rsid w:val="00FD72BC"/>
    <w:rsid w:val="00FE0E92"/>
    <w:rsid w:val="00FE3C18"/>
    <w:rsid w:val="00FE5078"/>
    <w:rsid w:val="00FF0140"/>
    <w:rsid w:val="00FF0A6D"/>
    <w:rsid w:val="00FF12DB"/>
    <w:rsid w:val="00FF149F"/>
    <w:rsid w:val="00FF1C29"/>
    <w:rsid w:val="00FF2BA1"/>
    <w:rsid w:val="00FF5E10"/>
    <w:rsid w:val="01556C11"/>
    <w:rsid w:val="02C51836"/>
    <w:rsid w:val="04B91A92"/>
    <w:rsid w:val="050822E4"/>
    <w:rsid w:val="06B66E61"/>
    <w:rsid w:val="07715188"/>
    <w:rsid w:val="08E54678"/>
    <w:rsid w:val="09145663"/>
    <w:rsid w:val="09A25DCD"/>
    <w:rsid w:val="0ABF5174"/>
    <w:rsid w:val="0BF263F6"/>
    <w:rsid w:val="0D552244"/>
    <w:rsid w:val="0E166084"/>
    <w:rsid w:val="10366EA9"/>
    <w:rsid w:val="12884AEF"/>
    <w:rsid w:val="12E20021"/>
    <w:rsid w:val="12FC13CB"/>
    <w:rsid w:val="14666445"/>
    <w:rsid w:val="16C678ED"/>
    <w:rsid w:val="191F2A45"/>
    <w:rsid w:val="1A660899"/>
    <w:rsid w:val="1AB12645"/>
    <w:rsid w:val="1B6976C0"/>
    <w:rsid w:val="1C78090C"/>
    <w:rsid w:val="1D4A169C"/>
    <w:rsid w:val="1D8F7A29"/>
    <w:rsid w:val="1DF8598F"/>
    <w:rsid w:val="1DFA2A35"/>
    <w:rsid w:val="1E320959"/>
    <w:rsid w:val="1E76328D"/>
    <w:rsid w:val="1F6205B9"/>
    <w:rsid w:val="1F70586F"/>
    <w:rsid w:val="20A71D9E"/>
    <w:rsid w:val="25E00BF3"/>
    <w:rsid w:val="279D7E2F"/>
    <w:rsid w:val="28970834"/>
    <w:rsid w:val="2A1D4D13"/>
    <w:rsid w:val="2A9126C0"/>
    <w:rsid w:val="2B11557E"/>
    <w:rsid w:val="2B140DE0"/>
    <w:rsid w:val="2C9F1D0E"/>
    <w:rsid w:val="2CCE4C33"/>
    <w:rsid w:val="2CFE4742"/>
    <w:rsid w:val="2D770BDA"/>
    <w:rsid w:val="2F531CDD"/>
    <w:rsid w:val="306F30AD"/>
    <w:rsid w:val="30BC1803"/>
    <w:rsid w:val="31F72417"/>
    <w:rsid w:val="325818B8"/>
    <w:rsid w:val="34A10A71"/>
    <w:rsid w:val="34B96D40"/>
    <w:rsid w:val="34C67D99"/>
    <w:rsid w:val="357B2AE6"/>
    <w:rsid w:val="361E4910"/>
    <w:rsid w:val="364C1E9A"/>
    <w:rsid w:val="37813006"/>
    <w:rsid w:val="378C06F0"/>
    <w:rsid w:val="38422C72"/>
    <w:rsid w:val="38976E3F"/>
    <w:rsid w:val="3C14762B"/>
    <w:rsid w:val="3E0324E7"/>
    <w:rsid w:val="3E142BE7"/>
    <w:rsid w:val="3E884054"/>
    <w:rsid w:val="3F8B58F1"/>
    <w:rsid w:val="411B3063"/>
    <w:rsid w:val="422771A0"/>
    <w:rsid w:val="428C719B"/>
    <w:rsid w:val="437C3786"/>
    <w:rsid w:val="439C783E"/>
    <w:rsid w:val="43E85875"/>
    <w:rsid w:val="43F73C52"/>
    <w:rsid w:val="449A7DFC"/>
    <w:rsid w:val="454B7EC2"/>
    <w:rsid w:val="459C2777"/>
    <w:rsid w:val="45B93647"/>
    <w:rsid w:val="49D3737F"/>
    <w:rsid w:val="4B1A6F87"/>
    <w:rsid w:val="4B337FFF"/>
    <w:rsid w:val="4BEC5CFA"/>
    <w:rsid w:val="4D2001B7"/>
    <w:rsid w:val="4DD32F1E"/>
    <w:rsid w:val="4E0C3F18"/>
    <w:rsid w:val="4FA93D6F"/>
    <w:rsid w:val="50053CF4"/>
    <w:rsid w:val="52E55735"/>
    <w:rsid w:val="52EB6E24"/>
    <w:rsid w:val="539354E6"/>
    <w:rsid w:val="54964D70"/>
    <w:rsid w:val="54F12E40"/>
    <w:rsid w:val="561141AC"/>
    <w:rsid w:val="56BE6BB7"/>
    <w:rsid w:val="571741AE"/>
    <w:rsid w:val="58A83EC4"/>
    <w:rsid w:val="58B4254A"/>
    <w:rsid w:val="592A6379"/>
    <w:rsid w:val="5A74178C"/>
    <w:rsid w:val="5ACD132B"/>
    <w:rsid w:val="5C0E671D"/>
    <w:rsid w:val="5C5725E1"/>
    <w:rsid w:val="5C937967"/>
    <w:rsid w:val="5E363CD7"/>
    <w:rsid w:val="60575C77"/>
    <w:rsid w:val="60A722EC"/>
    <w:rsid w:val="65DF04D3"/>
    <w:rsid w:val="693B4744"/>
    <w:rsid w:val="6A5A707F"/>
    <w:rsid w:val="6B0B05D5"/>
    <w:rsid w:val="700E7B08"/>
    <w:rsid w:val="719E6721"/>
    <w:rsid w:val="72C637E5"/>
    <w:rsid w:val="73DF5965"/>
    <w:rsid w:val="750C4B5B"/>
    <w:rsid w:val="75502A31"/>
    <w:rsid w:val="767A141A"/>
    <w:rsid w:val="77ED21B3"/>
    <w:rsid w:val="77FA75B7"/>
    <w:rsid w:val="7A7D26E8"/>
    <w:rsid w:val="7B80189B"/>
    <w:rsid w:val="7D3D5B7C"/>
    <w:rsid w:val="7E7A6970"/>
    <w:rsid w:val="7FAB78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Char Char Char Char Char Char Char Char Char Char Char Char Char Char Char Char"/>
    <w:basedOn w:val="1"/>
    <w:qFormat/>
    <w:uiPriority w:val="0"/>
    <w:pPr>
      <w:tabs>
        <w:tab w:val="left" w:pos="360"/>
      </w:tabs>
    </w:pPr>
    <w:rPr>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1765</Words>
  <Characters>2044</Characters>
  <Lines>8</Lines>
  <Paragraphs>2</Paragraphs>
  <TotalTime>1</TotalTime>
  <ScaleCrop>false</ScaleCrop>
  <LinksUpToDate>false</LinksUpToDate>
  <CharactersWithSpaces>2129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2021-09-02T08:27:00Z</dcterms:created>
  <dc:creator>高波</dc:creator>
  <cp:lastModifiedBy>7</cp:lastModifiedBy>
  <cp:lastPrinted>2024-10-14T08:23:00Z</cp:lastPrinted>
  <dcterms:modified xsi:type="dcterms:W3CDTF">2024-11-06T10:21:45Z</dcterms:modified>
  <dc:title>贵港市2013年第四十四期</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E791ED9243374B98AB1BD3903B14D5A2</vt:lpwstr>
  </property>
</Properties>
</file>