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r>
        <w:rPr>
          <w:rFonts w:hint="eastAsia" w:ascii="宋体" w:hAnsi="宋体"/>
          <w:b/>
          <w:sz w:val="44"/>
          <w:szCs w:val="44"/>
        </w:rPr>
        <mc:AlternateContent>
          <mc:Choice Requires="wps">
            <w:drawing>
              <wp:anchor distT="0" distB="0" distL="114300" distR="114300" simplePos="0" relativeHeight="251660288" behindDoc="0" locked="0" layoutInCell="1" allowOverlap="1">
                <wp:simplePos x="0" y="0"/>
                <wp:positionH relativeFrom="column">
                  <wp:posOffset>-410210</wp:posOffset>
                </wp:positionH>
                <wp:positionV relativeFrom="paragraph">
                  <wp:posOffset>-396240</wp:posOffset>
                </wp:positionV>
                <wp:extent cx="571500" cy="396240"/>
                <wp:effectExtent l="0" t="0" r="0" b="3810"/>
                <wp:wrapNone/>
                <wp:docPr id="1" name="文本框 4"/>
                <wp:cNvGraphicFramePr/>
                <a:graphic xmlns:a="http://schemas.openxmlformats.org/drawingml/2006/main">
                  <a:graphicData uri="http://schemas.microsoft.com/office/word/2010/wordprocessingShape">
                    <wps:wsp>
                      <wps:cNvSpPr txBox="1"/>
                      <wps:spPr>
                        <a:xfrm>
                          <a:off x="0" y="0"/>
                          <a:ext cx="571500" cy="396240"/>
                        </a:xfrm>
                        <a:prstGeom prst="rect">
                          <a:avLst/>
                        </a:prstGeom>
                        <a:solidFill>
                          <a:srgbClr val="FFFFFF"/>
                        </a:solidFill>
                        <a:ln>
                          <a:noFill/>
                        </a:ln>
                      </wps:spPr>
                      <wps:txbx>
                        <w:txbxContent>
                          <w:p>
                            <w:pPr>
                              <w:rPr>
                                <w:sz w:val="24"/>
                              </w:rPr>
                            </w:pPr>
                          </w:p>
                        </w:txbxContent>
                      </wps:txbx>
                      <wps:bodyPr wrap="square" upright="1"/>
                    </wps:wsp>
                  </a:graphicData>
                </a:graphic>
              </wp:anchor>
            </w:drawing>
          </mc:Choice>
          <mc:Fallback>
            <w:pict>
              <v:shape id="文本框 4" o:spid="_x0000_s1026" o:spt="202" type="#_x0000_t202" style="position:absolute;left:0pt;margin-left:-32.3pt;margin-top:-31.2pt;height:31.2pt;width:45pt;z-index:251660288;mso-width-relative:page;mso-height-relative:page;" fillcolor="#FFFFFF" filled="t" stroked="f" coordsize="21600,21600" o:gfxdata="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e2KfP1AAAAAcBAAAPAAAAAAAAAAEAIAAAACIAAABkcnMvZG93&#10;bnJldi54bWxQSwECFAAUAAAACACHTuJAyUPlQMsBAACEAwAADgAAAAAAAAABACAAAAAjAQAAZHJz&#10;L2Uyb0RvYy54bWxQSwUGAAAAAAYABgBZAQAAYAUAAAAA&#10;">
                <v:fill on="t" focussize="0,0"/>
                <v:stroke on="f"/>
                <v:imagedata o:title=""/>
                <o:lock v:ext="edit" aspectratio="f"/>
                <v:textbox>
                  <w:txbxContent>
                    <w:p>
                      <w:pPr>
                        <w:rPr>
                          <w:sz w:val="24"/>
                        </w:rPr>
                      </w:pPr>
                    </w:p>
                  </w:txbxContent>
                </v:textbox>
              </v:shape>
            </w:pict>
          </mc:Fallback>
        </mc:AlternateContent>
      </w:r>
      <w:r>
        <w:rPr>
          <w:rFonts w:hint="eastAsia" w:ascii="宋体" w:hAnsi="宋体"/>
          <w:b/>
          <w:sz w:val="44"/>
          <w:szCs w:val="44"/>
        </w:rPr>
        <w:t>贵港市</w:t>
      </w:r>
      <w:r>
        <w:rPr>
          <w:rFonts w:hint="eastAsia" w:ascii="宋体" w:hAnsi="宋体"/>
          <w:b/>
          <w:sz w:val="44"/>
          <w:szCs w:val="44"/>
          <w:lang w:val="en-US" w:eastAsia="zh-CN"/>
        </w:rPr>
        <w:t>2023</w:t>
      </w:r>
      <w:r>
        <w:rPr>
          <w:rFonts w:hint="eastAsia" w:ascii="宋体" w:hAnsi="宋体"/>
          <w:b/>
          <w:sz w:val="44"/>
          <w:szCs w:val="44"/>
        </w:rPr>
        <w:t>年第</w:t>
      </w:r>
      <w:r>
        <w:rPr>
          <w:rFonts w:hint="eastAsia" w:ascii="宋体" w:hAnsi="宋体"/>
          <w:b/>
          <w:sz w:val="44"/>
          <w:szCs w:val="44"/>
          <w:lang w:val="en-US" w:eastAsia="zh-CN"/>
        </w:rPr>
        <w:t>四十</w:t>
      </w:r>
      <w:r>
        <w:rPr>
          <w:rFonts w:hint="eastAsia" w:ascii="宋体" w:hAnsi="宋体"/>
          <w:b/>
          <w:sz w:val="44"/>
          <w:szCs w:val="44"/>
        </w:rPr>
        <w:t>期</w:t>
      </w:r>
    </w:p>
    <w:p>
      <w:pPr>
        <w:jc w:val="center"/>
        <w:rPr>
          <w:rFonts w:ascii="宋体" w:hAnsi="宋体"/>
          <w:b/>
          <w:sz w:val="44"/>
          <w:szCs w:val="44"/>
        </w:rPr>
      </w:pPr>
      <w:r>
        <w:rPr>
          <w:rFonts w:hint="eastAsia" w:ascii="宋体" w:hAnsi="宋体"/>
          <w:b/>
          <w:sz w:val="44"/>
          <w:szCs w:val="44"/>
        </w:rPr>
        <w:t>国有建设用地使用权挂牌出让须知</w:t>
      </w:r>
    </w:p>
    <w:p>
      <w:pPr>
        <w:spacing w:line="420" w:lineRule="exact"/>
        <w:rPr>
          <w:rFonts w:ascii="仿宋" w:hAnsi="仿宋" w:eastAsia="仿宋"/>
          <w:sz w:val="32"/>
          <w:szCs w:val="32"/>
        </w:rPr>
      </w:pPr>
    </w:p>
    <w:p>
      <w:pPr>
        <w:spacing w:before="156" w:beforeLines="50" w:after="156" w:afterLines="50" w:line="520" w:lineRule="exact"/>
        <w:ind w:firstLine="640" w:firstLineChars="200"/>
        <w:rPr>
          <w:rFonts w:ascii="仿宋_GB2312" w:hAnsi="仿宋" w:eastAsia="仿宋_GB2312"/>
          <w:sz w:val="32"/>
          <w:szCs w:val="32"/>
          <w:u w:val="single"/>
        </w:rPr>
      </w:pPr>
      <w:r>
        <w:rPr>
          <w:rFonts w:hint="eastAsia" w:ascii="仿宋_GB2312" w:hAnsi="仿宋" w:eastAsia="仿宋_GB2312"/>
          <w:sz w:val="32"/>
          <w:szCs w:val="32"/>
        </w:rPr>
        <w:t>一、本期挂牌宗地位于：</w:t>
      </w:r>
      <w:r>
        <w:rPr>
          <w:rFonts w:hint="default" w:ascii="仿宋_GB2312" w:hAnsi="仿宋" w:eastAsia="仿宋_GB2312"/>
          <w:sz w:val="32"/>
          <w:szCs w:val="32"/>
          <w:u w:val="single"/>
        </w:rPr>
        <w:t>贵港市金港大道与同济大道交汇处东北角</w:t>
      </w:r>
      <w:r>
        <w:rPr>
          <w:rFonts w:hint="eastAsia" w:ascii="仿宋_GB2312" w:hAnsi="仿宋" w:eastAsia="仿宋_GB2312"/>
          <w:sz w:val="32"/>
          <w:szCs w:val="32"/>
          <w:u w:val="none"/>
          <w:lang w:val="en" w:eastAsia="zh-CN"/>
        </w:rPr>
        <w:t>，</w:t>
      </w:r>
      <w:r>
        <w:rPr>
          <w:rFonts w:hint="eastAsia" w:ascii="仿宋_GB2312" w:hAnsi="仿宋" w:eastAsia="仿宋_GB2312"/>
          <w:sz w:val="32"/>
          <w:szCs w:val="32"/>
        </w:rPr>
        <w:t>地块实际</w:t>
      </w:r>
      <w:r>
        <w:rPr>
          <w:rFonts w:hint="eastAsia" w:ascii="仿宋_GB2312" w:hAnsi="仿宋" w:eastAsia="仿宋_GB2312"/>
          <w:sz w:val="32"/>
          <w:szCs w:val="32"/>
          <w:lang w:val="en-US" w:eastAsia="zh-CN"/>
        </w:rPr>
        <w:t>出让</w:t>
      </w:r>
      <w:r>
        <w:rPr>
          <w:rFonts w:hint="eastAsia" w:ascii="仿宋_GB2312" w:hAnsi="仿宋" w:eastAsia="仿宋_GB2312"/>
          <w:sz w:val="32"/>
          <w:szCs w:val="32"/>
        </w:rPr>
        <w:t>面积</w:t>
      </w:r>
      <w:r>
        <w:rPr>
          <w:rFonts w:hint="default" w:ascii="仿宋_GB2312" w:hAnsi="仿宋" w:eastAsia="仿宋_GB2312"/>
          <w:sz w:val="32"/>
          <w:szCs w:val="32"/>
          <w:u w:val="single"/>
        </w:rPr>
        <w:t>320.08㎡（折合0.480亩）</w:t>
      </w:r>
      <w:r>
        <w:rPr>
          <w:rFonts w:hint="eastAsia" w:ascii="仿宋_GB2312" w:hAnsi="仿宋" w:eastAsia="仿宋_GB2312"/>
          <w:sz w:val="32"/>
          <w:szCs w:val="32"/>
        </w:rPr>
        <w:t>，规划用途为：</w:t>
      </w:r>
      <w:r>
        <w:rPr>
          <w:rFonts w:hint="default" w:ascii="仿宋_GB2312" w:hAnsi="仿宋" w:eastAsia="仿宋_GB2312"/>
          <w:sz w:val="32"/>
          <w:szCs w:val="32"/>
          <w:u w:val="single"/>
        </w:rPr>
        <w:t>城镇住宅用地</w:t>
      </w:r>
      <w:r>
        <w:rPr>
          <w:rFonts w:hint="eastAsia" w:ascii="仿宋_GB2312" w:hAnsi="仿宋" w:eastAsia="仿宋_GB2312"/>
          <w:sz w:val="32"/>
          <w:szCs w:val="32"/>
        </w:rPr>
        <w:t>。</w:t>
      </w:r>
    </w:p>
    <w:p>
      <w:pPr>
        <w:spacing w:before="156" w:beforeLines="50" w:after="156" w:afterLines="50"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二、凡取得该宗地挂牌出让竞买资格的竞买人,不按时进场办理签到手续的,一律视为自动放弃其竞买资格,出现一次给予取消其（含单位和法人,下同）在12个月内参加我市招拍挂出让土地竞买资格的处罚;出现两次及以上则列入黑名单,取消其3年内参加我市招拍挂出</w:t>
      </w:r>
      <w:r>
        <w:rPr>
          <w:rFonts w:hint="eastAsia" w:ascii="仿宋_GB2312" w:hAnsi="仿宋" w:eastAsia="仿宋_GB2312"/>
          <w:spacing w:val="-20"/>
          <w:sz w:val="32"/>
          <w:szCs w:val="32"/>
        </w:rPr>
        <w:t>让土地竞买的资格。</w:t>
      </w:r>
    </w:p>
    <w:p>
      <w:pPr>
        <w:spacing w:line="5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sz w:val="32"/>
          <w:szCs w:val="32"/>
        </w:rPr>
        <w:t>三、</w:t>
      </w:r>
      <w:r>
        <w:rPr>
          <w:rFonts w:hint="eastAsia" w:ascii="仿宋_GB2312" w:hAnsi="宋体" w:eastAsia="仿宋_GB2312"/>
          <w:sz w:val="32"/>
          <w:szCs w:val="32"/>
        </w:rPr>
        <w:t>根据《贵港市发展和改革委员会关于重新明确贵港市公共资源交易中心收费主体和收费项目的复函》（贵发改函〔2019〕55号）和《贵港市物价局关于贵港市公共资源交易服务中心服务收费有关问题的通知》（贵价费〔2016〕28号）</w:t>
      </w:r>
      <w:r>
        <w:rPr>
          <w:rFonts w:hint="eastAsia" w:ascii="仿宋_GB2312" w:hAnsi="仿宋" w:eastAsia="仿宋_GB2312"/>
          <w:sz w:val="32"/>
          <w:szCs w:val="32"/>
        </w:rPr>
        <w:t>的规定,</w:t>
      </w:r>
      <w:r>
        <w:rPr>
          <w:rFonts w:hint="eastAsia" w:ascii="仿宋_GB2312" w:hAnsi="仿宋" w:eastAsia="仿宋_GB2312"/>
          <w:color w:val="000000"/>
          <w:sz w:val="32"/>
          <w:szCs w:val="32"/>
        </w:rPr>
        <w:t>竞得人</w:t>
      </w:r>
      <w:r>
        <w:rPr>
          <w:rFonts w:hint="eastAsia" w:ascii="仿宋_GB2312" w:hAnsi="仿宋" w:eastAsia="仿宋_GB2312"/>
          <w:sz w:val="32"/>
          <w:szCs w:val="32"/>
        </w:rPr>
        <w:t>自成交之日起需向贵港市公共资源交易中心支付交易服务费。</w:t>
      </w:r>
      <w:r>
        <w:rPr>
          <w:rFonts w:hint="eastAsia" w:ascii="仿宋_GB2312" w:hAnsi="仿宋" w:eastAsia="仿宋_GB2312" w:cs="宋体"/>
          <w:color w:val="000000"/>
          <w:kern w:val="0"/>
          <w:sz w:val="32"/>
          <w:szCs w:val="32"/>
        </w:rPr>
        <w:t>交易服务费未</w:t>
      </w:r>
      <w:r>
        <w:rPr>
          <w:rFonts w:hint="eastAsia" w:ascii="仿宋_GB2312" w:hAnsi="仿宋" w:eastAsia="仿宋_GB2312"/>
          <w:sz w:val="32"/>
          <w:szCs w:val="32"/>
        </w:rPr>
        <w:t>交清的，不予协助办理签订</w:t>
      </w:r>
      <w:r>
        <w:rPr>
          <w:rFonts w:hint="eastAsia" w:ascii="仿宋_GB2312" w:hAnsi="仿宋" w:eastAsia="仿宋_GB2312" w:cs="宋体"/>
          <w:color w:val="000000"/>
          <w:kern w:val="0"/>
          <w:sz w:val="32"/>
          <w:szCs w:val="32"/>
        </w:rPr>
        <w:t>《</w:t>
      </w:r>
      <w:r>
        <w:rPr>
          <w:rFonts w:hint="eastAsia" w:ascii="仿宋_GB2312" w:hAnsi="仿宋" w:eastAsia="仿宋_GB2312" w:cs="Arial"/>
          <w:bCs/>
          <w:color w:val="000000"/>
          <w:sz w:val="32"/>
          <w:szCs w:val="32"/>
        </w:rPr>
        <w:t>国有建设用地使用权出让合同</w:t>
      </w:r>
      <w:r>
        <w:rPr>
          <w:rFonts w:hint="eastAsia" w:ascii="仿宋_GB2312" w:hAnsi="仿宋" w:eastAsia="仿宋_GB2312" w:cs="宋体"/>
          <w:color w:val="000000"/>
          <w:kern w:val="0"/>
          <w:sz w:val="32"/>
          <w:szCs w:val="32"/>
        </w:rPr>
        <w:t>》等相关事宜。</w:t>
      </w:r>
    </w:p>
    <w:p>
      <w:pPr>
        <w:spacing w:line="5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四、竞得人逾期或拒绝签订《成交确认书》,不履行《成交确认书》约定义务的,视为竞得人违约,市自然资源局有权取消竞得人资格,收回土地使用权,竞得人已交的竞买保证金不予退还。</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五、竞买人提交的报名申请材料应当真实、准确，对伪造、变造有关证件、材料、信息，骗取报名资格的，将按照有关法律的规定进行处理。竞买人的申请一经受理确认后,即视为竞买人对挂牌出让文件及地块现状无异议并全部接受,并对有关承诺承担法律责任。如对挂牌出让标的有疑问的,向市自然资源局咨询。本次挂牌出让地块由竞得人自行负责土地平整,地块范围内地上建（构）筑物、架空线、地下管线、地下障碍物、水沟、水渠等由竞得人负责勘验,并按照有关规定自行妥善解决。地块内的给水、排水、电力、通讯、燃气、道路、绿化等各项基础设施，由竞得人自行负责配套</w:t>
      </w:r>
      <w:r>
        <w:rPr>
          <w:rFonts w:hint="eastAsia" w:ascii="仿宋_GB2312" w:hAnsi="仿宋" w:eastAsia="仿宋_GB2312"/>
          <w:spacing w:val="-20"/>
          <w:sz w:val="32"/>
          <w:szCs w:val="32"/>
        </w:rPr>
        <w:t>,并承担相关费用。</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六、挂牌出让土地涉及的税费、有关办证费等费用由竞得人缴纳。</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七、竞得人在签订《国有建设用地使用权出让合同》之日起30日内在竞得宗地现场设置《建设项目用地信息公示牌》，公示牌规格不小于200</w:t>
      </w:r>
      <w:r>
        <w:rPr>
          <w:rFonts w:hint="eastAsia" w:ascii="仿宋_GB2312" w:hAnsi="仿宋" w:eastAsia="仿宋"/>
          <w:sz w:val="32"/>
          <w:szCs w:val="32"/>
        </w:rPr>
        <w:t>㎝</w:t>
      </w:r>
      <w:r>
        <w:rPr>
          <w:rFonts w:hint="eastAsia" w:ascii="仿宋_GB2312" w:hAnsi="仿宋" w:eastAsia="仿宋_GB2312"/>
          <w:sz w:val="32"/>
          <w:szCs w:val="32"/>
        </w:rPr>
        <w:t>×150</w:t>
      </w:r>
      <w:r>
        <w:rPr>
          <w:rFonts w:hint="eastAsia" w:ascii="仿宋_GB2312" w:hAnsi="仿宋" w:eastAsia="仿宋"/>
          <w:sz w:val="32"/>
          <w:szCs w:val="32"/>
        </w:rPr>
        <w:t>㎝</w:t>
      </w:r>
      <w:r>
        <w:rPr>
          <w:rFonts w:hint="eastAsia" w:ascii="仿宋_GB2312" w:hAnsi="仿宋" w:eastAsia="仿宋_GB2312"/>
          <w:sz w:val="32"/>
          <w:szCs w:val="32"/>
        </w:rPr>
        <w:t>，公示信息详见附件。</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八、本挂牌须知与贵公交告</w:t>
      </w:r>
      <w:r>
        <w:rPr>
          <w:rFonts w:hint="eastAsia" w:ascii="仿宋_GB2312" w:hAnsi="仿宋" w:eastAsia="仿宋_GB2312"/>
          <w:spacing w:val="-20"/>
          <w:sz w:val="32"/>
          <w:szCs w:val="32"/>
        </w:rPr>
        <w:t>〔202</w:t>
      </w:r>
      <w:r>
        <w:rPr>
          <w:rFonts w:hint="eastAsia" w:ascii="仿宋_GB2312" w:hAnsi="仿宋" w:eastAsia="仿宋_GB2312"/>
          <w:spacing w:val="-20"/>
          <w:sz w:val="32"/>
          <w:szCs w:val="32"/>
          <w:lang w:val="en-US" w:eastAsia="zh-CN"/>
        </w:rPr>
        <w:t>4</w:t>
      </w:r>
      <w:r>
        <w:rPr>
          <w:rFonts w:hint="eastAsia" w:ascii="仿宋_GB2312" w:hAnsi="仿宋" w:eastAsia="仿宋_GB2312"/>
          <w:spacing w:val="-20"/>
          <w:sz w:val="32"/>
          <w:szCs w:val="32"/>
        </w:rPr>
        <w:t>〕</w:t>
      </w:r>
      <w:r>
        <w:rPr>
          <w:rFonts w:hint="eastAsia" w:ascii="仿宋_GB2312" w:hAnsi="仿宋" w:eastAsia="仿宋_GB2312"/>
          <w:spacing w:val="-20"/>
          <w:sz w:val="32"/>
          <w:szCs w:val="32"/>
          <w:lang w:val="en-US" w:eastAsia="zh-CN"/>
        </w:rPr>
        <w:t>15</w:t>
      </w:r>
      <w:r>
        <w:rPr>
          <w:rFonts w:hint="eastAsia" w:ascii="仿宋_GB2312" w:hAnsi="仿宋" w:eastAsia="仿宋_GB2312"/>
          <w:spacing w:val="-20"/>
          <w:sz w:val="32"/>
          <w:szCs w:val="32"/>
        </w:rPr>
        <w:t>号</w:t>
      </w:r>
      <w:r>
        <w:rPr>
          <w:rFonts w:hint="eastAsia" w:ascii="仿宋_GB2312" w:hAnsi="仿宋" w:eastAsia="仿宋_GB2312"/>
          <w:sz w:val="32"/>
          <w:szCs w:val="32"/>
        </w:rPr>
        <w:t>挂牌公告具有同等法律效力。</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附件：建设项目用地信息公示牌</w:t>
      </w:r>
    </w:p>
    <w:p>
      <w:pPr>
        <w:spacing w:line="500" w:lineRule="exact"/>
        <w:rPr>
          <w:rFonts w:ascii="仿宋_GB2312" w:hAnsi="仿宋" w:eastAsia="仿宋_GB2312"/>
          <w:sz w:val="32"/>
          <w:szCs w:val="32"/>
        </w:rPr>
      </w:pPr>
    </w:p>
    <w:p>
      <w:pPr>
        <w:spacing w:line="500" w:lineRule="exact"/>
        <w:ind w:firstLine="640" w:firstLineChars="200"/>
        <w:rPr>
          <w:rFonts w:ascii="仿宋_GB2312" w:hAnsi="仿宋" w:eastAsia="仿宋_GB2312"/>
          <w:sz w:val="32"/>
          <w:szCs w:val="32"/>
        </w:rPr>
      </w:pPr>
    </w:p>
    <w:p>
      <w:pPr>
        <w:spacing w:line="500" w:lineRule="exact"/>
        <w:ind w:firstLine="4800" w:firstLineChars="1500"/>
        <w:rPr>
          <w:rFonts w:ascii="仿宋_GB2312" w:hAnsi="仿宋" w:eastAsia="仿宋_GB2312"/>
          <w:sz w:val="32"/>
          <w:szCs w:val="32"/>
        </w:rPr>
      </w:pPr>
    </w:p>
    <w:p>
      <w:pPr>
        <w:spacing w:line="500" w:lineRule="exact"/>
        <w:ind w:firstLine="4800" w:firstLineChars="1500"/>
        <w:rPr>
          <w:rFonts w:ascii="仿宋_GB2312" w:hAnsi="仿宋" w:eastAsia="仿宋_GB2312"/>
          <w:sz w:val="32"/>
          <w:szCs w:val="32"/>
        </w:rPr>
      </w:pPr>
    </w:p>
    <w:p>
      <w:pPr>
        <w:spacing w:line="500" w:lineRule="exact"/>
        <w:ind w:firstLine="4800" w:firstLineChars="1500"/>
        <w:rPr>
          <w:rFonts w:ascii="仿宋_GB2312" w:hAnsi="仿宋" w:eastAsia="仿宋_GB2312"/>
          <w:sz w:val="32"/>
          <w:szCs w:val="32"/>
        </w:rPr>
      </w:pPr>
      <w:r>
        <w:rPr>
          <w:rFonts w:hint="eastAsia" w:ascii="仿宋_GB2312" w:hAnsi="仿宋" w:eastAsia="仿宋_GB2312"/>
          <w:sz w:val="32"/>
          <w:szCs w:val="32"/>
        </w:rPr>
        <w:t>贵港市公共资源交易中心</w:t>
      </w:r>
    </w:p>
    <w:p>
      <w:pPr>
        <w:spacing w:line="500" w:lineRule="exact"/>
        <w:rPr>
          <w:rFonts w:ascii="仿宋_GB2312" w:hAnsi="仿宋" w:eastAsia="仿宋_GB2312"/>
          <w:sz w:val="32"/>
          <w:szCs w:val="32"/>
        </w:rPr>
      </w:pPr>
      <w:r>
        <w:rPr>
          <w:rFonts w:hint="eastAsia" w:ascii="仿宋_GB2312" w:hAnsi="仿宋" w:eastAsia="仿宋_GB2312"/>
          <w:sz w:val="32"/>
          <w:szCs w:val="32"/>
        </w:rPr>
        <w:t xml:space="preserve">                                 202</w:t>
      </w:r>
      <w:r>
        <w:rPr>
          <w:rFonts w:hint="eastAsia" w:ascii="仿宋_GB2312" w:hAnsi="仿宋" w:eastAsia="仿宋_GB2312"/>
          <w:sz w:val="32"/>
          <w:szCs w:val="32"/>
          <w:lang w:val="en-US" w:eastAsia="zh-CN"/>
        </w:rPr>
        <w:t>4</w:t>
      </w:r>
      <w:r>
        <w:rPr>
          <w:rFonts w:hint="eastAsia" w:ascii="仿宋_GB2312" w:hAnsi="仿宋" w:eastAsia="仿宋_GB2312"/>
          <w:sz w:val="32"/>
          <w:szCs w:val="32"/>
        </w:rPr>
        <w:t>年</w:t>
      </w:r>
      <w:r>
        <w:rPr>
          <w:rFonts w:hint="eastAsia" w:ascii="仿宋_GB2312" w:hAnsi="仿宋" w:eastAsia="仿宋_GB2312"/>
          <w:sz w:val="32"/>
          <w:szCs w:val="32"/>
          <w:lang w:val="en-US" w:eastAsia="zh-CN"/>
        </w:rPr>
        <w:t>4</w:t>
      </w:r>
      <w:r>
        <w:rPr>
          <w:rFonts w:hint="eastAsia" w:ascii="仿宋_GB2312" w:hAnsi="仿宋" w:eastAsia="仿宋_GB2312"/>
          <w:sz w:val="32"/>
          <w:szCs w:val="32"/>
        </w:rPr>
        <w:t>月</w:t>
      </w:r>
      <w:r>
        <w:rPr>
          <w:rFonts w:hint="eastAsia" w:ascii="仿宋_GB2312" w:hAnsi="仿宋" w:eastAsia="仿宋_GB2312"/>
          <w:sz w:val="32"/>
          <w:szCs w:val="32"/>
          <w:lang w:val="en-US" w:eastAsia="zh-CN"/>
        </w:rPr>
        <w:t>19</w:t>
      </w:r>
      <w:bookmarkStart w:id="0" w:name="_GoBack"/>
      <w:bookmarkEnd w:id="0"/>
      <w:r>
        <w:rPr>
          <w:rFonts w:hint="eastAsia" w:ascii="仿宋_GB2312" w:hAnsi="仿宋" w:eastAsia="仿宋_GB2312"/>
          <w:sz w:val="32"/>
          <w:szCs w:val="32"/>
        </w:rPr>
        <w:t>日</w:t>
      </w:r>
    </w:p>
    <w:p>
      <w:pPr>
        <w:rPr>
          <w:rFonts w:ascii="仿宋" w:hAnsi="仿宋" w:eastAsia="仿宋" w:cs="宋体"/>
          <w:b/>
          <w:kern w:val="0"/>
          <w:sz w:val="32"/>
          <w:szCs w:val="32"/>
        </w:rPr>
        <w:sectPr>
          <w:headerReference r:id="rId3" w:type="default"/>
          <w:footerReference r:id="rId4" w:type="default"/>
          <w:pgSz w:w="11906" w:h="16838"/>
          <w:pgMar w:top="1418" w:right="1418" w:bottom="1418" w:left="1701" w:header="851" w:footer="992" w:gutter="0"/>
          <w:cols w:space="720" w:num="1"/>
          <w:docGrid w:type="lines" w:linePitch="312" w:charSpace="0"/>
        </w:sectPr>
      </w:pPr>
    </w:p>
    <w:tbl>
      <w:tblPr>
        <w:tblStyle w:val="5"/>
        <w:tblpPr w:leftFromText="180" w:rightFromText="180" w:vertAnchor="text" w:horzAnchor="margin"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160"/>
        <w:gridCol w:w="2520"/>
        <w:gridCol w:w="7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3968" w:type="dxa"/>
            <w:gridSpan w:val="4"/>
            <w:vAlign w:val="center"/>
          </w:tcPr>
          <w:p>
            <w:pPr>
              <w:jc w:val="center"/>
              <w:rPr>
                <w:sz w:val="20"/>
                <w:szCs w:val="20"/>
              </w:rPr>
            </w:pPr>
            <w:r>
              <w:rPr>
                <w:rFonts w:hint="eastAsia" w:ascii="Verdana" w:hAnsi="Verdana" w:cs="宋体"/>
                <w:b/>
                <w:kern w:val="0"/>
                <w:sz w:val="29"/>
                <w:szCs w:val="29"/>
              </w:rPr>
              <w:t>建设项目用地信息公示牌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restart"/>
            <w:textDirection w:val="tbRlV"/>
            <w:vAlign w:val="center"/>
          </w:tcPr>
          <w:p>
            <w:pPr>
              <w:spacing w:line="520" w:lineRule="exact"/>
              <w:ind w:left="113" w:right="113"/>
              <w:jc w:val="center"/>
              <w:rPr>
                <w:sz w:val="24"/>
              </w:rPr>
            </w:pPr>
            <w:r>
              <w:rPr>
                <w:rFonts w:hint="eastAsia"/>
                <w:sz w:val="24"/>
              </w:rPr>
              <w:t>建设项目用地基本情况</w:t>
            </w:r>
          </w:p>
        </w:tc>
        <w:tc>
          <w:tcPr>
            <w:tcW w:w="2160" w:type="dxa"/>
            <w:vAlign w:val="center"/>
          </w:tcPr>
          <w:p>
            <w:pPr>
              <w:spacing w:line="520" w:lineRule="exact"/>
              <w:jc w:val="center"/>
              <w:rPr>
                <w:sz w:val="24"/>
              </w:rPr>
            </w:pPr>
            <w:r>
              <w:rPr>
                <w:rFonts w:hint="eastAsia"/>
                <w:sz w:val="24"/>
              </w:rPr>
              <w:t>土地使用权人</w:t>
            </w:r>
          </w:p>
        </w:tc>
        <w:tc>
          <w:tcPr>
            <w:tcW w:w="2520" w:type="dxa"/>
            <w:vAlign w:val="center"/>
          </w:tcPr>
          <w:p>
            <w:pPr>
              <w:jc w:val="left"/>
              <w:rPr>
                <w:sz w:val="20"/>
                <w:szCs w:val="20"/>
              </w:rPr>
            </w:pPr>
          </w:p>
        </w:tc>
        <w:tc>
          <w:tcPr>
            <w:tcW w:w="7020" w:type="dxa"/>
            <w:vMerge w:val="restart"/>
            <w:vAlign w:val="center"/>
          </w:tcPr>
          <w:p>
            <w:pPr>
              <w:jc w:val="center"/>
              <w:rPr>
                <w:sz w:val="20"/>
                <w:szCs w:val="20"/>
              </w:rPr>
            </w:pPr>
            <w:r>
              <w:rPr>
                <w:rFonts w:hint="eastAsia"/>
                <w:sz w:val="20"/>
                <w:szCs w:val="20"/>
              </w:rPr>
              <w:t>请粘贴土地坐落图片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土地坐落</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土地用途</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用地面积</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供地方式</w:t>
            </w:r>
          </w:p>
        </w:tc>
        <w:tc>
          <w:tcPr>
            <w:tcW w:w="2520" w:type="dxa"/>
            <w:vAlign w:val="center"/>
          </w:tcPr>
          <w:p>
            <w:pPr>
              <w:jc w:val="left"/>
              <w:rPr>
                <w:sz w:val="20"/>
                <w:szCs w:val="20"/>
              </w:rPr>
            </w:pPr>
            <w:r>
              <w:rPr>
                <w:rFonts w:hint="eastAsia"/>
                <w:sz w:val="20"/>
                <w:szCs w:val="20"/>
              </w:rPr>
              <w:t>挂牌出让</w:t>
            </w: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出让合同编号</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restart"/>
            <w:textDirection w:val="tbRlV"/>
            <w:vAlign w:val="center"/>
          </w:tcPr>
          <w:p>
            <w:pPr>
              <w:spacing w:line="520" w:lineRule="exact"/>
              <w:ind w:left="113" w:right="113"/>
              <w:jc w:val="center"/>
              <w:rPr>
                <w:sz w:val="24"/>
              </w:rPr>
            </w:pPr>
            <w:r>
              <w:rPr>
                <w:rFonts w:hint="eastAsia"/>
                <w:sz w:val="24"/>
              </w:rPr>
              <w:t>规划条件</w:t>
            </w:r>
          </w:p>
        </w:tc>
        <w:tc>
          <w:tcPr>
            <w:tcW w:w="2160" w:type="dxa"/>
            <w:vAlign w:val="center"/>
          </w:tcPr>
          <w:p>
            <w:pPr>
              <w:spacing w:line="520" w:lineRule="exact"/>
              <w:jc w:val="center"/>
              <w:rPr>
                <w:sz w:val="24"/>
              </w:rPr>
            </w:pPr>
            <w:r>
              <w:rPr>
                <w:rFonts w:hint="eastAsia"/>
                <w:sz w:val="24"/>
              </w:rPr>
              <w:t>容积率</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建筑密度</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绿地率</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使用期限</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28" w:type="dxa"/>
            <w:gridSpan w:val="2"/>
            <w:vAlign w:val="center"/>
          </w:tcPr>
          <w:p>
            <w:pPr>
              <w:spacing w:line="520" w:lineRule="exact"/>
              <w:jc w:val="center"/>
              <w:rPr>
                <w:sz w:val="24"/>
              </w:rPr>
            </w:pPr>
            <w:r>
              <w:rPr>
                <w:rFonts w:hint="eastAsia"/>
                <w:sz w:val="24"/>
              </w:rPr>
              <w:t>约定开工时间</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28" w:type="dxa"/>
            <w:gridSpan w:val="2"/>
            <w:vAlign w:val="center"/>
          </w:tcPr>
          <w:p>
            <w:pPr>
              <w:spacing w:line="520" w:lineRule="exact"/>
              <w:jc w:val="center"/>
              <w:rPr>
                <w:sz w:val="24"/>
              </w:rPr>
            </w:pPr>
            <w:r>
              <w:rPr>
                <w:rFonts w:hint="eastAsia"/>
                <w:sz w:val="24"/>
              </w:rPr>
              <w:t>约定竣工时间</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28" w:type="dxa"/>
            <w:gridSpan w:val="2"/>
            <w:vAlign w:val="center"/>
          </w:tcPr>
          <w:p>
            <w:pPr>
              <w:spacing w:line="520" w:lineRule="exact"/>
              <w:jc w:val="center"/>
              <w:rPr>
                <w:sz w:val="24"/>
              </w:rPr>
            </w:pPr>
            <w:r>
              <w:rPr>
                <w:rFonts w:hint="eastAsia"/>
                <w:sz w:val="24"/>
              </w:rPr>
              <w:t>监管机构</w:t>
            </w:r>
          </w:p>
        </w:tc>
        <w:tc>
          <w:tcPr>
            <w:tcW w:w="2520" w:type="dxa"/>
            <w:vAlign w:val="center"/>
          </w:tcPr>
          <w:p>
            <w:pPr>
              <w:jc w:val="left"/>
              <w:rPr>
                <w:sz w:val="20"/>
                <w:szCs w:val="20"/>
              </w:rPr>
            </w:pPr>
            <w:r>
              <w:rPr>
                <w:rFonts w:hint="eastAsia"/>
                <w:sz w:val="20"/>
                <w:szCs w:val="20"/>
              </w:rPr>
              <w:t>贵港市自然资源局</w:t>
            </w:r>
            <w:r>
              <w:rPr>
                <w:sz w:val="20"/>
                <w:szCs w:val="20"/>
              </w:rPr>
              <w:t>0775-</w:t>
            </w:r>
            <w:r>
              <w:rPr>
                <w:rFonts w:hint="eastAsia"/>
                <w:sz w:val="20"/>
                <w:szCs w:val="20"/>
              </w:rPr>
              <w:t>4286071</w:t>
            </w: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4428" w:type="dxa"/>
            <w:gridSpan w:val="2"/>
            <w:vAlign w:val="center"/>
          </w:tcPr>
          <w:p>
            <w:pPr>
              <w:spacing w:line="520" w:lineRule="exact"/>
              <w:jc w:val="center"/>
              <w:rPr>
                <w:sz w:val="24"/>
              </w:rPr>
            </w:pPr>
            <w:r>
              <w:rPr>
                <w:rFonts w:hint="eastAsia"/>
                <w:sz w:val="24"/>
              </w:rPr>
              <w:t>举报电话</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bl>
    <w:p/>
    <w:p/>
    <w:sectPr>
      <w:headerReference r:id="rId7" w:type="first"/>
      <w:footerReference r:id="rId10" w:type="first"/>
      <w:headerReference r:id="rId5" w:type="default"/>
      <w:footerReference r:id="rId8" w:type="default"/>
      <w:headerReference r:id="rId6" w:type="even"/>
      <w:footerReference r:id="rId9" w:type="even"/>
      <w:pgSz w:w="16838" w:h="11906" w:orient="landscape"/>
      <w:pgMar w:top="1701"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k2Njk0NTc1ZDk4MTRhM2Q3MTA2MGM1N2U1MjdjNmIifQ=="/>
  </w:docVars>
  <w:rsids>
    <w:rsidRoot w:val="00B73A99"/>
    <w:rsid w:val="00001A18"/>
    <w:rsid w:val="00002037"/>
    <w:rsid w:val="00004A07"/>
    <w:rsid w:val="0000634F"/>
    <w:rsid w:val="000103C0"/>
    <w:rsid w:val="00011CEB"/>
    <w:rsid w:val="00012101"/>
    <w:rsid w:val="0001580E"/>
    <w:rsid w:val="0001758E"/>
    <w:rsid w:val="00021952"/>
    <w:rsid w:val="00023BD5"/>
    <w:rsid w:val="00025403"/>
    <w:rsid w:val="00027703"/>
    <w:rsid w:val="00032793"/>
    <w:rsid w:val="00032E4A"/>
    <w:rsid w:val="00033660"/>
    <w:rsid w:val="00037CEB"/>
    <w:rsid w:val="00041786"/>
    <w:rsid w:val="00042E1E"/>
    <w:rsid w:val="000438A0"/>
    <w:rsid w:val="00053896"/>
    <w:rsid w:val="00057BBE"/>
    <w:rsid w:val="000607B8"/>
    <w:rsid w:val="00061734"/>
    <w:rsid w:val="0006368F"/>
    <w:rsid w:val="000648CD"/>
    <w:rsid w:val="000714ED"/>
    <w:rsid w:val="00076E29"/>
    <w:rsid w:val="0007732F"/>
    <w:rsid w:val="000815CF"/>
    <w:rsid w:val="00087AFF"/>
    <w:rsid w:val="00087BCC"/>
    <w:rsid w:val="00087EB2"/>
    <w:rsid w:val="00090F48"/>
    <w:rsid w:val="0009401E"/>
    <w:rsid w:val="000A3CAE"/>
    <w:rsid w:val="000A42AD"/>
    <w:rsid w:val="000A73E5"/>
    <w:rsid w:val="000B0334"/>
    <w:rsid w:val="000B475A"/>
    <w:rsid w:val="000B6896"/>
    <w:rsid w:val="000B73E8"/>
    <w:rsid w:val="000C0791"/>
    <w:rsid w:val="000D772B"/>
    <w:rsid w:val="000D7E1C"/>
    <w:rsid w:val="000E6ECD"/>
    <w:rsid w:val="000E6F08"/>
    <w:rsid w:val="001021AA"/>
    <w:rsid w:val="00102237"/>
    <w:rsid w:val="00103DAF"/>
    <w:rsid w:val="00104944"/>
    <w:rsid w:val="0011416D"/>
    <w:rsid w:val="0011695C"/>
    <w:rsid w:val="00117C27"/>
    <w:rsid w:val="001260EA"/>
    <w:rsid w:val="0012619B"/>
    <w:rsid w:val="0013041B"/>
    <w:rsid w:val="001341E9"/>
    <w:rsid w:val="00135C1B"/>
    <w:rsid w:val="00136E05"/>
    <w:rsid w:val="001423B4"/>
    <w:rsid w:val="00146F35"/>
    <w:rsid w:val="0014707D"/>
    <w:rsid w:val="001500B5"/>
    <w:rsid w:val="00150782"/>
    <w:rsid w:val="00152B63"/>
    <w:rsid w:val="00155146"/>
    <w:rsid w:val="00157802"/>
    <w:rsid w:val="00165BCB"/>
    <w:rsid w:val="001665D0"/>
    <w:rsid w:val="001752C8"/>
    <w:rsid w:val="001757F5"/>
    <w:rsid w:val="001814A2"/>
    <w:rsid w:val="00182A4F"/>
    <w:rsid w:val="00184006"/>
    <w:rsid w:val="00184C32"/>
    <w:rsid w:val="001860B5"/>
    <w:rsid w:val="0018691E"/>
    <w:rsid w:val="00190FF9"/>
    <w:rsid w:val="001915B9"/>
    <w:rsid w:val="001A0EAE"/>
    <w:rsid w:val="001A1073"/>
    <w:rsid w:val="001A1090"/>
    <w:rsid w:val="001A4473"/>
    <w:rsid w:val="001A53FA"/>
    <w:rsid w:val="001A6ED4"/>
    <w:rsid w:val="001A7347"/>
    <w:rsid w:val="001B38BE"/>
    <w:rsid w:val="001B4B59"/>
    <w:rsid w:val="001B4C95"/>
    <w:rsid w:val="001C26D4"/>
    <w:rsid w:val="001C61B6"/>
    <w:rsid w:val="001C662A"/>
    <w:rsid w:val="001D40F6"/>
    <w:rsid w:val="001D5E25"/>
    <w:rsid w:val="001E09BC"/>
    <w:rsid w:val="001E3C5D"/>
    <w:rsid w:val="001E648A"/>
    <w:rsid w:val="001F02A0"/>
    <w:rsid w:val="001F2CBC"/>
    <w:rsid w:val="001F37FA"/>
    <w:rsid w:val="001F4451"/>
    <w:rsid w:val="00202843"/>
    <w:rsid w:val="00202B27"/>
    <w:rsid w:val="00203057"/>
    <w:rsid w:val="002049B6"/>
    <w:rsid w:val="00207FA5"/>
    <w:rsid w:val="00217F4C"/>
    <w:rsid w:val="00221617"/>
    <w:rsid w:val="002220C9"/>
    <w:rsid w:val="00235A15"/>
    <w:rsid w:val="00236EB2"/>
    <w:rsid w:val="002434B8"/>
    <w:rsid w:val="002437E3"/>
    <w:rsid w:val="00244103"/>
    <w:rsid w:val="00246BEA"/>
    <w:rsid w:val="00247638"/>
    <w:rsid w:val="00247C5F"/>
    <w:rsid w:val="00250BF8"/>
    <w:rsid w:val="00252C35"/>
    <w:rsid w:val="00253B4A"/>
    <w:rsid w:val="00255B56"/>
    <w:rsid w:val="00265FB7"/>
    <w:rsid w:val="0026602C"/>
    <w:rsid w:val="002664B6"/>
    <w:rsid w:val="00275104"/>
    <w:rsid w:val="00280779"/>
    <w:rsid w:val="0028444A"/>
    <w:rsid w:val="0028491C"/>
    <w:rsid w:val="00284E2E"/>
    <w:rsid w:val="00285F2E"/>
    <w:rsid w:val="002864B7"/>
    <w:rsid w:val="0029277C"/>
    <w:rsid w:val="0029763B"/>
    <w:rsid w:val="00297E63"/>
    <w:rsid w:val="002A5E15"/>
    <w:rsid w:val="002B1581"/>
    <w:rsid w:val="002B1966"/>
    <w:rsid w:val="002B3A7B"/>
    <w:rsid w:val="002C30D4"/>
    <w:rsid w:val="002D0EB0"/>
    <w:rsid w:val="002D1A19"/>
    <w:rsid w:val="002D3F77"/>
    <w:rsid w:val="002D568D"/>
    <w:rsid w:val="002E14FF"/>
    <w:rsid w:val="002F6E64"/>
    <w:rsid w:val="00303FC6"/>
    <w:rsid w:val="00310F18"/>
    <w:rsid w:val="00311D93"/>
    <w:rsid w:val="003133EC"/>
    <w:rsid w:val="0031469E"/>
    <w:rsid w:val="00316A30"/>
    <w:rsid w:val="003259B0"/>
    <w:rsid w:val="00326E4C"/>
    <w:rsid w:val="003305B3"/>
    <w:rsid w:val="00331D21"/>
    <w:rsid w:val="00333007"/>
    <w:rsid w:val="00334459"/>
    <w:rsid w:val="00336EB8"/>
    <w:rsid w:val="003372D8"/>
    <w:rsid w:val="003410FE"/>
    <w:rsid w:val="00342E76"/>
    <w:rsid w:val="0034355E"/>
    <w:rsid w:val="00345A51"/>
    <w:rsid w:val="00350C27"/>
    <w:rsid w:val="003522EC"/>
    <w:rsid w:val="00362676"/>
    <w:rsid w:val="00362C45"/>
    <w:rsid w:val="0036357D"/>
    <w:rsid w:val="00365834"/>
    <w:rsid w:val="00365860"/>
    <w:rsid w:val="003658D6"/>
    <w:rsid w:val="00372DBC"/>
    <w:rsid w:val="00373F13"/>
    <w:rsid w:val="00376596"/>
    <w:rsid w:val="00381436"/>
    <w:rsid w:val="00381FDC"/>
    <w:rsid w:val="00382B26"/>
    <w:rsid w:val="00392DFF"/>
    <w:rsid w:val="00396CF8"/>
    <w:rsid w:val="0039757C"/>
    <w:rsid w:val="00397A87"/>
    <w:rsid w:val="003A08A7"/>
    <w:rsid w:val="003A2EDF"/>
    <w:rsid w:val="003A3F24"/>
    <w:rsid w:val="003A4F2E"/>
    <w:rsid w:val="003A7A39"/>
    <w:rsid w:val="003B155D"/>
    <w:rsid w:val="003B2235"/>
    <w:rsid w:val="003B353F"/>
    <w:rsid w:val="003B6542"/>
    <w:rsid w:val="003C6187"/>
    <w:rsid w:val="003C7F72"/>
    <w:rsid w:val="003D0D27"/>
    <w:rsid w:val="003D1770"/>
    <w:rsid w:val="003D2814"/>
    <w:rsid w:val="003D4D24"/>
    <w:rsid w:val="003D4EF1"/>
    <w:rsid w:val="003D542A"/>
    <w:rsid w:val="003D5E22"/>
    <w:rsid w:val="003F15B5"/>
    <w:rsid w:val="003F1AAC"/>
    <w:rsid w:val="003F1CC1"/>
    <w:rsid w:val="003F55D8"/>
    <w:rsid w:val="003F664F"/>
    <w:rsid w:val="003F7382"/>
    <w:rsid w:val="00406E21"/>
    <w:rsid w:val="00410B0B"/>
    <w:rsid w:val="0041249F"/>
    <w:rsid w:val="00412999"/>
    <w:rsid w:val="00416CA9"/>
    <w:rsid w:val="00417496"/>
    <w:rsid w:val="00422A3E"/>
    <w:rsid w:val="00424DAD"/>
    <w:rsid w:val="0042630F"/>
    <w:rsid w:val="00427057"/>
    <w:rsid w:val="004272CB"/>
    <w:rsid w:val="004318DE"/>
    <w:rsid w:val="004358BD"/>
    <w:rsid w:val="0043697F"/>
    <w:rsid w:val="00436FCB"/>
    <w:rsid w:val="00437620"/>
    <w:rsid w:val="004378D4"/>
    <w:rsid w:val="0044030D"/>
    <w:rsid w:val="004407F5"/>
    <w:rsid w:val="00441F9E"/>
    <w:rsid w:val="004426E6"/>
    <w:rsid w:val="004455BD"/>
    <w:rsid w:val="00446416"/>
    <w:rsid w:val="0045274C"/>
    <w:rsid w:val="00455C5E"/>
    <w:rsid w:val="0045707A"/>
    <w:rsid w:val="00463746"/>
    <w:rsid w:val="00463ED5"/>
    <w:rsid w:val="0046537D"/>
    <w:rsid w:val="0046679C"/>
    <w:rsid w:val="004676A2"/>
    <w:rsid w:val="0047378A"/>
    <w:rsid w:val="0047516E"/>
    <w:rsid w:val="0047625E"/>
    <w:rsid w:val="004775F6"/>
    <w:rsid w:val="00477DDB"/>
    <w:rsid w:val="00482A01"/>
    <w:rsid w:val="0048345C"/>
    <w:rsid w:val="00485E94"/>
    <w:rsid w:val="0049235D"/>
    <w:rsid w:val="00493CAF"/>
    <w:rsid w:val="0049475B"/>
    <w:rsid w:val="004A59B7"/>
    <w:rsid w:val="004A6120"/>
    <w:rsid w:val="004B20D8"/>
    <w:rsid w:val="004B4265"/>
    <w:rsid w:val="004B52A0"/>
    <w:rsid w:val="004B6C02"/>
    <w:rsid w:val="004C1CE0"/>
    <w:rsid w:val="004C24C0"/>
    <w:rsid w:val="004D1A6D"/>
    <w:rsid w:val="004D25D9"/>
    <w:rsid w:val="004D7C8C"/>
    <w:rsid w:val="004E127E"/>
    <w:rsid w:val="004E5677"/>
    <w:rsid w:val="004E5BE1"/>
    <w:rsid w:val="004F4057"/>
    <w:rsid w:val="004F66FB"/>
    <w:rsid w:val="0050187A"/>
    <w:rsid w:val="005027C1"/>
    <w:rsid w:val="00507851"/>
    <w:rsid w:val="005122B3"/>
    <w:rsid w:val="00516179"/>
    <w:rsid w:val="00522157"/>
    <w:rsid w:val="005234C3"/>
    <w:rsid w:val="0052365C"/>
    <w:rsid w:val="00523F18"/>
    <w:rsid w:val="005274E9"/>
    <w:rsid w:val="00530565"/>
    <w:rsid w:val="005311B5"/>
    <w:rsid w:val="00531AC9"/>
    <w:rsid w:val="005326D7"/>
    <w:rsid w:val="00533E97"/>
    <w:rsid w:val="00535ED6"/>
    <w:rsid w:val="00537A98"/>
    <w:rsid w:val="005419EC"/>
    <w:rsid w:val="0055032E"/>
    <w:rsid w:val="00552D8D"/>
    <w:rsid w:val="00553AF3"/>
    <w:rsid w:val="00553F00"/>
    <w:rsid w:val="005554EB"/>
    <w:rsid w:val="005572EB"/>
    <w:rsid w:val="00560E1C"/>
    <w:rsid w:val="005630F2"/>
    <w:rsid w:val="005660D7"/>
    <w:rsid w:val="0057156E"/>
    <w:rsid w:val="00572212"/>
    <w:rsid w:val="00573483"/>
    <w:rsid w:val="005743F9"/>
    <w:rsid w:val="00580DE4"/>
    <w:rsid w:val="005811A7"/>
    <w:rsid w:val="00581853"/>
    <w:rsid w:val="0058337C"/>
    <w:rsid w:val="005847F3"/>
    <w:rsid w:val="0058592C"/>
    <w:rsid w:val="00585A1B"/>
    <w:rsid w:val="00587E32"/>
    <w:rsid w:val="00592418"/>
    <w:rsid w:val="00592B77"/>
    <w:rsid w:val="005A1104"/>
    <w:rsid w:val="005A5DE7"/>
    <w:rsid w:val="005A7952"/>
    <w:rsid w:val="005B1229"/>
    <w:rsid w:val="005B1550"/>
    <w:rsid w:val="005B1C55"/>
    <w:rsid w:val="005B4263"/>
    <w:rsid w:val="005B4626"/>
    <w:rsid w:val="005B4E74"/>
    <w:rsid w:val="005B4EE2"/>
    <w:rsid w:val="005B500A"/>
    <w:rsid w:val="005B5241"/>
    <w:rsid w:val="005B7DC7"/>
    <w:rsid w:val="005C02B1"/>
    <w:rsid w:val="005D1184"/>
    <w:rsid w:val="005D4784"/>
    <w:rsid w:val="005D54AC"/>
    <w:rsid w:val="005E006B"/>
    <w:rsid w:val="005E1E30"/>
    <w:rsid w:val="005E45D8"/>
    <w:rsid w:val="005E5435"/>
    <w:rsid w:val="005F12B5"/>
    <w:rsid w:val="005F2768"/>
    <w:rsid w:val="005F33CC"/>
    <w:rsid w:val="005F7A82"/>
    <w:rsid w:val="0060351E"/>
    <w:rsid w:val="00603996"/>
    <w:rsid w:val="006039DA"/>
    <w:rsid w:val="00604DE0"/>
    <w:rsid w:val="00605E31"/>
    <w:rsid w:val="00610BB0"/>
    <w:rsid w:val="00616BB7"/>
    <w:rsid w:val="0062240D"/>
    <w:rsid w:val="00623087"/>
    <w:rsid w:val="006233BE"/>
    <w:rsid w:val="0062413E"/>
    <w:rsid w:val="00630887"/>
    <w:rsid w:val="00631D12"/>
    <w:rsid w:val="00640600"/>
    <w:rsid w:val="00644DF1"/>
    <w:rsid w:val="00644ED5"/>
    <w:rsid w:val="00646F87"/>
    <w:rsid w:val="006470E9"/>
    <w:rsid w:val="0065157B"/>
    <w:rsid w:val="00655FA6"/>
    <w:rsid w:val="00661982"/>
    <w:rsid w:val="00661AD2"/>
    <w:rsid w:val="00664DCD"/>
    <w:rsid w:val="0066503B"/>
    <w:rsid w:val="00665116"/>
    <w:rsid w:val="00665211"/>
    <w:rsid w:val="00670EAF"/>
    <w:rsid w:val="0067728E"/>
    <w:rsid w:val="006778DB"/>
    <w:rsid w:val="00691DA0"/>
    <w:rsid w:val="0069386B"/>
    <w:rsid w:val="006951E7"/>
    <w:rsid w:val="00695D25"/>
    <w:rsid w:val="00697BF5"/>
    <w:rsid w:val="006A384A"/>
    <w:rsid w:val="006A45EA"/>
    <w:rsid w:val="006A6210"/>
    <w:rsid w:val="006B1292"/>
    <w:rsid w:val="006B15AC"/>
    <w:rsid w:val="006B4FE9"/>
    <w:rsid w:val="006B75AC"/>
    <w:rsid w:val="006C15E3"/>
    <w:rsid w:val="006C24C5"/>
    <w:rsid w:val="006C2A5C"/>
    <w:rsid w:val="006D35EC"/>
    <w:rsid w:val="006D3CC3"/>
    <w:rsid w:val="006E456B"/>
    <w:rsid w:val="006F1202"/>
    <w:rsid w:val="006F1D51"/>
    <w:rsid w:val="006F3971"/>
    <w:rsid w:val="006F476B"/>
    <w:rsid w:val="007034D1"/>
    <w:rsid w:val="0070513F"/>
    <w:rsid w:val="00706697"/>
    <w:rsid w:val="007066A0"/>
    <w:rsid w:val="00707E32"/>
    <w:rsid w:val="00716017"/>
    <w:rsid w:val="00716CAE"/>
    <w:rsid w:val="00726F94"/>
    <w:rsid w:val="007329CB"/>
    <w:rsid w:val="007358D6"/>
    <w:rsid w:val="00737E56"/>
    <w:rsid w:val="00744E28"/>
    <w:rsid w:val="00745F94"/>
    <w:rsid w:val="007474DA"/>
    <w:rsid w:val="007476DD"/>
    <w:rsid w:val="0075487A"/>
    <w:rsid w:val="00754C14"/>
    <w:rsid w:val="00756A07"/>
    <w:rsid w:val="007609DB"/>
    <w:rsid w:val="0076529F"/>
    <w:rsid w:val="0076664D"/>
    <w:rsid w:val="00770373"/>
    <w:rsid w:val="0077478B"/>
    <w:rsid w:val="00775C5B"/>
    <w:rsid w:val="007773DF"/>
    <w:rsid w:val="00782BE8"/>
    <w:rsid w:val="007838CF"/>
    <w:rsid w:val="00783ACC"/>
    <w:rsid w:val="0079042B"/>
    <w:rsid w:val="00791445"/>
    <w:rsid w:val="00791748"/>
    <w:rsid w:val="00791BAB"/>
    <w:rsid w:val="007925F1"/>
    <w:rsid w:val="00793AB2"/>
    <w:rsid w:val="007962A4"/>
    <w:rsid w:val="00797DFA"/>
    <w:rsid w:val="007A32B6"/>
    <w:rsid w:val="007A3639"/>
    <w:rsid w:val="007A3E70"/>
    <w:rsid w:val="007A559D"/>
    <w:rsid w:val="007B1AF3"/>
    <w:rsid w:val="007B1BB0"/>
    <w:rsid w:val="007B2921"/>
    <w:rsid w:val="007B34B6"/>
    <w:rsid w:val="007B3BAD"/>
    <w:rsid w:val="007B448A"/>
    <w:rsid w:val="007B7EDE"/>
    <w:rsid w:val="007C05D9"/>
    <w:rsid w:val="007C19E0"/>
    <w:rsid w:val="007C4129"/>
    <w:rsid w:val="007C4B5C"/>
    <w:rsid w:val="007C50FA"/>
    <w:rsid w:val="007C7D85"/>
    <w:rsid w:val="007D3911"/>
    <w:rsid w:val="007E11F1"/>
    <w:rsid w:val="007E35A2"/>
    <w:rsid w:val="007E64C7"/>
    <w:rsid w:val="007E7B10"/>
    <w:rsid w:val="007F14CD"/>
    <w:rsid w:val="007F1D43"/>
    <w:rsid w:val="007F1D4B"/>
    <w:rsid w:val="007F468D"/>
    <w:rsid w:val="007F51AA"/>
    <w:rsid w:val="007F5C39"/>
    <w:rsid w:val="007F6DF2"/>
    <w:rsid w:val="007F76E3"/>
    <w:rsid w:val="00801974"/>
    <w:rsid w:val="00801B45"/>
    <w:rsid w:val="00802103"/>
    <w:rsid w:val="00803018"/>
    <w:rsid w:val="00805B38"/>
    <w:rsid w:val="0080752E"/>
    <w:rsid w:val="00812177"/>
    <w:rsid w:val="0081355F"/>
    <w:rsid w:val="00824376"/>
    <w:rsid w:val="008266A3"/>
    <w:rsid w:val="00826CBE"/>
    <w:rsid w:val="0082763F"/>
    <w:rsid w:val="0083734A"/>
    <w:rsid w:val="00844AC8"/>
    <w:rsid w:val="00845CEF"/>
    <w:rsid w:val="00847421"/>
    <w:rsid w:val="00854A68"/>
    <w:rsid w:val="00865E55"/>
    <w:rsid w:val="008724A5"/>
    <w:rsid w:val="0087354A"/>
    <w:rsid w:val="008750C8"/>
    <w:rsid w:val="00880558"/>
    <w:rsid w:val="00881368"/>
    <w:rsid w:val="0088292C"/>
    <w:rsid w:val="0088794F"/>
    <w:rsid w:val="0089179B"/>
    <w:rsid w:val="00893215"/>
    <w:rsid w:val="008938E0"/>
    <w:rsid w:val="00896918"/>
    <w:rsid w:val="00897C3F"/>
    <w:rsid w:val="008A59C5"/>
    <w:rsid w:val="008B0EBE"/>
    <w:rsid w:val="008B2905"/>
    <w:rsid w:val="008C051E"/>
    <w:rsid w:val="008C7899"/>
    <w:rsid w:val="008C7BC9"/>
    <w:rsid w:val="008D2D50"/>
    <w:rsid w:val="008D72EC"/>
    <w:rsid w:val="008D75FA"/>
    <w:rsid w:val="008E1E2D"/>
    <w:rsid w:val="008E548E"/>
    <w:rsid w:val="008F2B73"/>
    <w:rsid w:val="008F3558"/>
    <w:rsid w:val="008F527D"/>
    <w:rsid w:val="00905030"/>
    <w:rsid w:val="0090542C"/>
    <w:rsid w:val="00906226"/>
    <w:rsid w:val="00910E10"/>
    <w:rsid w:val="00913A14"/>
    <w:rsid w:val="009214EB"/>
    <w:rsid w:val="009272D7"/>
    <w:rsid w:val="00927D51"/>
    <w:rsid w:val="00931D86"/>
    <w:rsid w:val="00933229"/>
    <w:rsid w:val="009362A1"/>
    <w:rsid w:val="00936E81"/>
    <w:rsid w:val="00945487"/>
    <w:rsid w:val="00946861"/>
    <w:rsid w:val="009557DB"/>
    <w:rsid w:val="00955C22"/>
    <w:rsid w:val="0096003D"/>
    <w:rsid w:val="00960C1F"/>
    <w:rsid w:val="00963A0D"/>
    <w:rsid w:val="00963BA3"/>
    <w:rsid w:val="00964CD3"/>
    <w:rsid w:val="00966DB7"/>
    <w:rsid w:val="009677FC"/>
    <w:rsid w:val="00967B02"/>
    <w:rsid w:val="00970324"/>
    <w:rsid w:val="00971C0E"/>
    <w:rsid w:val="00972179"/>
    <w:rsid w:val="0097469F"/>
    <w:rsid w:val="009746E0"/>
    <w:rsid w:val="0097487E"/>
    <w:rsid w:val="00974995"/>
    <w:rsid w:val="00974E4A"/>
    <w:rsid w:val="00976622"/>
    <w:rsid w:val="00980379"/>
    <w:rsid w:val="00982AF8"/>
    <w:rsid w:val="0098438D"/>
    <w:rsid w:val="00985F70"/>
    <w:rsid w:val="0099127B"/>
    <w:rsid w:val="00995579"/>
    <w:rsid w:val="00997E4A"/>
    <w:rsid w:val="009A0620"/>
    <w:rsid w:val="009A4275"/>
    <w:rsid w:val="009A458A"/>
    <w:rsid w:val="009A4C97"/>
    <w:rsid w:val="009B190F"/>
    <w:rsid w:val="009B4211"/>
    <w:rsid w:val="009B7E6E"/>
    <w:rsid w:val="009C3085"/>
    <w:rsid w:val="009C3B2D"/>
    <w:rsid w:val="009D1554"/>
    <w:rsid w:val="009D1B36"/>
    <w:rsid w:val="009D2849"/>
    <w:rsid w:val="009E19E0"/>
    <w:rsid w:val="009F0295"/>
    <w:rsid w:val="009F2BD1"/>
    <w:rsid w:val="00A0742A"/>
    <w:rsid w:val="00A07DEB"/>
    <w:rsid w:val="00A10C48"/>
    <w:rsid w:val="00A1279F"/>
    <w:rsid w:val="00A16E9E"/>
    <w:rsid w:val="00A225BF"/>
    <w:rsid w:val="00A22612"/>
    <w:rsid w:val="00A2367A"/>
    <w:rsid w:val="00A261E6"/>
    <w:rsid w:val="00A26BC6"/>
    <w:rsid w:val="00A3086F"/>
    <w:rsid w:val="00A330FC"/>
    <w:rsid w:val="00A4094B"/>
    <w:rsid w:val="00A4164F"/>
    <w:rsid w:val="00A418D2"/>
    <w:rsid w:val="00A42196"/>
    <w:rsid w:val="00A4572C"/>
    <w:rsid w:val="00A519A0"/>
    <w:rsid w:val="00A5263D"/>
    <w:rsid w:val="00A54FFC"/>
    <w:rsid w:val="00A602B6"/>
    <w:rsid w:val="00A62D23"/>
    <w:rsid w:val="00A63086"/>
    <w:rsid w:val="00A65E84"/>
    <w:rsid w:val="00A66036"/>
    <w:rsid w:val="00A72C24"/>
    <w:rsid w:val="00A74044"/>
    <w:rsid w:val="00A83328"/>
    <w:rsid w:val="00A837DB"/>
    <w:rsid w:val="00A847C5"/>
    <w:rsid w:val="00A85F11"/>
    <w:rsid w:val="00A86B41"/>
    <w:rsid w:val="00A92E58"/>
    <w:rsid w:val="00A93284"/>
    <w:rsid w:val="00A93300"/>
    <w:rsid w:val="00A93878"/>
    <w:rsid w:val="00AA37DF"/>
    <w:rsid w:val="00AB1A68"/>
    <w:rsid w:val="00AB7F66"/>
    <w:rsid w:val="00AC15DF"/>
    <w:rsid w:val="00AC69A4"/>
    <w:rsid w:val="00AD1E32"/>
    <w:rsid w:val="00AD26CF"/>
    <w:rsid w:val="00AD67AB"/>
    <w:rsid w:val="00AE0CD1"/>
    <w:rsid w:val="00AE4399"/>
    <w:rsid w:val="00AF16E4"/>
    <w:rsid w:val="00AF35C7"/>
    <w:rsid w:val="00B0376A"/>
    <w:rsid w:val="00B03FB6"/>
    <w:rsid w:val="00B04DEE"/>
    <w:rsid w:val="00B134AB"/>
    <w:rsid w:val="00B16063"/>
    <w:rsid w:val="00B1762F"/>
    <w:rsid w:val="00B1775C"/>
    <w:rsid w:val="00B211B4"/>
    <w:rsid w:val="00B21560"/>
    <w:rsid w:val="00B22264"/>
    <w:rsid w:val="00B271C3"/>
    <w:rsid w:val="00B34622"/>
    <w:rsid w:val="00B35EA6"/>
    <w:rsid w:val="00B37EEE"/>
    <w:rsid w:val="00B46F9E"/>
    <w:rsid w:val="00B5159B"/>
    <w:rsid w:val="00B553AE"/>
    <w:rsid w:val="00B55FCA"/>
    <w:rsid w:val="00B67A9A"/>
    <w:rsid w:val="00B70127"/>
    <w:rsid w:val="00B73A99"/>
    <w:rsid w:val="00B750D9"/>
    <w:rsid w:val="00B75EBB"/>
    <w:rsid w:val="00B80541"/>
    <w:rsid w:val="00B832DE"/>
    <w:rsid w:val="00B84267"/>
    <w:rsid w:val="00B843EC"/>
    <w:rsid w:val="00B8758A"/>
    <w:rsid w:val="00B87633"/>
    <w:rsid w:val="00B879DB"/>
    <w:rsid w:val="00B90A35"/>
    <w:rsid w:val="00B91257"/>
    <w:rsid w:val="00B912AE"/>
    <w:rsid w:val="00BA30C8"/>
    <w:rsid w:val="00BA35BC"/>
    <w:rsid w:val="00BA3B4C"/>
    <w:rsid w:val="00BA4A64"/>
    <w:rsid w:val="00BB0781"/>
    <w:rsid w:val="00BB146F"/>
    <w:rsid w:val="00BB390D"/>
    <w:rsid w:val="00BB6B24"/>
    <w:rsid w:val="00BB764C"/>
    <w:rsid w:val="00BC30FA"/>
    <w:rsid w:val="00BE36F5"/>
    <w:rsid w:val="00BE3E34"/>
    <w:rsid w:val="00BE7667"/>
    <w:rsid w:val="00BF0A41"/>
    <w:rsid w:val="00BF134A"/>
    <w:rsid w:val="00BF1B32"/>
    <w:rsid w:val="00BF2197"/>
    <w:rsid w:val="00BF2CCC"/>
    <w:rsid w:val="00BF37B5"/>
    <w:rsid w:val="00BF497E"/>
    <w:rsid w:val="00BF5FCF"/>
    <w:rsid w:val="00BF6C3A"/>
    <w:rsid w:val="00C077AC"/>
    <w:rsid w:val="00C11807"/>
    <w:rsid w:val="00C14352"/>
    <w:rsid w:val="00C26FBB"/>
    <w:rsid w:val="00C33A29"/>
    <w:rsid w:val="00C34AF9"/>
    <w:rsid w:val="00C36E29"/>
    <w:rsid w:val="00C374CB"/>
    <w:rsid w:val="00C503BA"/>
    <w:rsid w:val="00C512D7"/>
    <w:rsid w:val="00C51BAE"/>
    <w:rsid w:val="00C5229F"/>
    <w:rsid w:val="00C52C25"/>
    <w:rsid w:val="00C5303A"/>
    <w:rsid w:val="00C53568"/>
    <w:rsid w:val="00C55754"/>
    <w:rsid w:val="00C603F3"/>
    <w:rsid w:val="00C62914"/>
    <w:rsid w:val="00C62F05"/>
    <w:rsid w:val="00C62FF5"/>
    <w:rsid w:val="00C6365A"/>
    <w:rsid w:val="00C658A2"/>
    <w:rsid w:val="00C66D7A"/>
    <w:rsid w:val="00C70CE0"/>
    <w:rsid w:val="00C717A8"/>
    <w:rsid w:val="00C71D87"/>
    <w:rsid w:val="00C74A91"/>
    <w:rsid w:val="00C80326"/>
    <w:rsid w:val="00C84F9C"/>
    <w:rsid w:val="00C85D74"/>
    <w:rsid w:val="00C86207"/>
    <w:rsid w:val="00C868A7"/>
    <w:rsid w:val="00C86CB3"/>
    <w:rsid w:val="00C86FDC"/>
    <w:rsid w:val="00C9145A"/>
    <w:rsid w:val="00C926B6"/>
    <w:rsid w:val="00C941D1"/>
    <w:rsid w:val="00C94966"/>
    <w:rsid w:val="00C963EB"/>
    <w:rsid w:val="00C9736E"/>
    <w:rsid w:val="00C973CE"/>
    <w:rsid w:val="00CA0747"/>
    <w:rsid w:val="00CA2C0A"/>
    <w:rsid w:val="00CA449C"/>
    <w:rsid w:val="00CA6292"/>
    <w:rsid w:val="00CB1D05"/>
    <w:rsid w:val="00CB2A59"/>
    <w:rsid w:val="00CB3AAA"/>
    <w:rsid w:val="00CB4849"/>
    <w:rsid w:val="00CB4860"/>
    <w:rsid w:val="00CB5475"/>
    <w:rsid w:val="00CC0457"/>
    <w:rsid w:val="00CC0E3B"/>
    <w:rsid w:val="00CC3B3C"/>
    <w:rsid w:val="00CC54B8"/>
    <w:rsid w:val="00CD01F4"/>
    <w:rsid w:val="00CD38BF"/>
    <w:rsid w:val="00CD48F8"/>
    <w:rsid w:val="00CD4AA9"/>
    <w:rsid w:val="00CD4E45"/>
    <w:rsid w:val="00CE00ED"/>
    <w:rsid w:val="00CE193D"/>
    <w:rsid w:val="00CE4366"/>
    <w:rsid w:val="00CE4F1F"/>
    <w:rsid w:val="00CE603E"/>
    <w:rsid w:val="00CE7AB8"/>
    <w:rsid w:val="00CF0080"/>
    <w:rsid w:val="00CF0D2C"/>
    <w:rsid w:val="00CF151D"/>
    <w:rsid w:val="00CF3801"/>
    <w:rsid w:val="00CF3A2C"/>
    <w:rsid w:val="00CF7868"/>
    <w:rsid w:val="00CF7EDE"/>
    <w:rsid w:val="00D027CD"/>
    <w:rsid w:val="00D0428F"/>
    <w:rsid w:val="00D04BCD"/>
    <w:rsid w:val="00D05CE4"/>
    <w:rsid w:val="00D15C5C"/>
    <w:rsid w:val="00D17BAE"/>
    <w:rsid w:val="00D20724"/>
    <w:rsid w:val="00D210A6"/>
    <w:rsid w:val="00D25CA0"/>
    <w:rsid w:val="00D308F5"/>
    <w:rsid w:val="00D312FE"/>
    <w:rsid w:val="00D33AAE"/>
    <w:rsid w:val="00D35283"/>
    <w:rsid w:val="00D42ECE"/>
    <w:rsid w:val="00D50A50"/>
    <w:rsid w:val="00D50EE8"/>
    <w:rsid w:val="00D51355"/>
    <w:rsid w:val="00D53093"/>
    <w:rsid w:val="00D54C99"/>
    <w:rsid w:val="00D5573D"/>
    <w:rsid w:val="00D60D08"/>
    <w:rsid w:val="00D6142A"/>
    <w:rsid w:val="00D61EF1"/>
    <w:rsid w:val="00D6426F"/>
    <w:rsid w:val="00D6632C"/>
    <w:rsid w:val="00D66C62"/>
    <w:rsid w:val="00D670A0"/>
    <w:rsid w:val="00D74184"/>
    <w:rsid w:val="00D7670C"/>
    <w:rsid w:val="00D77801"/>
    <w:rsid w:val="00D80FE8"/>
    <w:rsid w:val="00D87B87"/>
    <w:rsid w:val="00D91D07"/>
    <w:rsid w:val="00D9295F"/>
    <w:rsid w:val="00D940F0"/>
    <w:rsid w:val="00DA5656"/>
    <w:rsid w:val="00DA5D60"/>
    <w:rsid w:val="00DA6ECA"/>
    <w:rsid w:val="00DA7333"/>
    <w:rsid w:val="00DB092F"/>
    <w:rsid w:val="00DB3BE9"/>
    <w:rsid w:val="00DB61B6"/>
    <w:rsid w:val="00DB6F19"/>
    <w:rsid w:val="00DC1B5A"/>
    <w:rsid w:val="00DC26DF"/>
    <w:rsid w:val="00DC5E38"/>
    <w:rsid w:val="00DE293B"/>
    <w:rsid w:val="00DE3643"/>
    <w:rsid w:val="00DE6C59"/>
    <w:rsid w:val="00DF02E1"/>
    <w:rsid w:val="00DF33D2"/>
    <w:rsid w:val="00DF3A5C"/>
    <w:rsid w:val="00DF5B04"/>
    <w:rsid w:val="00E01115"/>
    <w:rsid w:val="00E01524"/>
    <w:rsid w:val="00E0290E"/>
    <w:rsid w:val="00E0519C"/>
    <w:rsid w:val="00E0719F"/>
    <w:rsid w:val="00E1203F"/>
    <w:rsid w:val="00E13F37"/>
    <w:rsid w:val="00E15DD7"/>
    <w:rsid w:val="00E22743"/>
    <w:rsid w:val="00E24500"/>
    <w:rsid w:val="00E25F2D"/>
    <w:rsid w:val="00E27DF3"/>
    <w:rsid w:val="00E32CA3"/>
    <w:rsid w:val="00E33732"/>
    <w:rsid w:val="00E3544F"/>
    <w:rsid w:val="00E369D0"/>
    <w:rsid w:val="00E418F1"/>
    <w:rsid w:val="00E43993"/>
    <w:rsid w:val="00E4559A"/>
    <w:rsid w:val="00E46B4A"/>
    <w:rsid w:val="00E51A9F"/>
    <w:rsid w:val="00E53C90"/>
    <w:rsid w:val="00E562BC"/>
    <w:rsid w:val="00E57F05"/>
    <w:rsid w:val="00E6023A"/>
    <w:rsid w:val="00E6728F"/>
    <w:rsid w:val="00E72ABE"/>
    <w:rsid w:val="00E82580"/>
    <w:rsid w:val="00E82D33"/>
    <w:rsid w:val="00E85161"/>
    <w:rsid w:val="00E90A2D"/>
    <w:rsid w:val="00E91B19"/>
    <w:rsid w:val="00E95038"/>
    <w:rsid w:val="00E965A1"/>
    <w:rsid w:val="00E971EF"/>
    <w:rsid w:val="00EA01AC"/>
    <w:rsid w:val="00EA04F5"/>
    <w:rsid w:val="00EA2812"/>
    <w:rsid w:val="00EA43C4"/>
    <w:rsid w:val="00EA59E2"/>
    <w:rsid w:val="00EA759C"/>
    <w:rsid w:val="00EB15C5"/>
    <w:rsid w:val="00EB32CD"/>
    <w:rsid w:val="00EB35DB"/>
    <w:rsid w:val="00EB3BA7"/>
    <w:rsid w:val="00EB55F5"/>
    <w:rsid w:val="00EB5E29"/>
    <w:rsid w:val="00EC467C"/>
    <w:rsid w:val="00EC652E"/>
    <w:rsid w:val="00EC6A01"/>
    <w:rsid w:val="00ED0230"/>
    <w:rsid w:val="00ED0C1A"/>
    <w:rsid w:val="00ED21A5"/>
    <w:rsid w:val="00ED4134"/>
    <w:rsid w:val="00EE6B6D"/>
    <w:rsid w:val="00EF4A79"/>
    <w:rsid w:val="00F02241"/>
    <w:rsid w:val="00F02543"/>
    <w:rsid w:val="00F0478E"/>
    <w:rsid w:val="00F0680D"/>
    <w:rsid w:val="00F11298"/>
    <w:rsid w:val="00F11EBD"/>
    <w:rsid w:val="00F12D5F"/>
    <w:rsid w:val="00F15017"/>
    <w:rsid w:val="00F17973"/>
    <w:rsid w:val="00F21BD9"/>
    <w:rsid w:val="00F30951"/>
    <w:rsid w:val="00F30F74"/>
    <w:rsid w:val="00F32DE8"/>
    <w:rsid w:val="00F367BA"/>
    <w:rsid w:val="00F375D5"/>
    <w:rsid w:val="00F42C05"/>
    <w:rsid w:val="00F431BF"/>
    <w:rsid w:val="00F44B55"/>
    <w:rsid w:val="00F52A35"/>
    <w:rsid w:val="00F54C8D"/>
    <w:rsid w:val="00F56916"/>
    <w:rsid w:val="00F60A2A"/>
    <w:rsid w:val="00F623DA"/>
    <w:rsid w:val="00F66C35"/>
    <w:rsid w:val="00F7036E"/>
    <w:rsid w:val="00F70A94"/>
    <w:rsid w:val="00F736C9"/>
    <w:rsid w:val="00F763A9"/>
    <w:rsid w:val="00F832FF"/>
    <w:rsid w:val="00F84925"/>
    <w:rsid w:val="00F851A8"/>
    <w:rsid w:val="00F87FAC"/>
    <w:rsid w:val="00F97343"/>
    <w:rsid w:val="00FA5477"/>
    <w:rsid w:val="00FA6F50"/>
    <w:rsid w:val="00FB0692"/>
    <w:rsid w:val="00FB0CDB"/>
    <w:rsid w:val="00FB10F6"/>
    <w:rsid w:val="00FB6055"/>
    <w:rsid w:val="00FC274F"/>
    <w:rsid w:val="00FC2FFF"/>
    <w:rsid w:val="00FC38E9"/>
    <w:rsid w:val="00FC43BB"/>
    <w:rsid w:val="00FC49E1"/>
    <w:rsid w:val="00FD0FA9"/>
    <w:rsid w:val="00FD1BA2"/>
    <w:rsid w:val="00FD1CA6"/>
    <w:rsid w:val="00FD40AD"/>
    <w:rsid w:val="00FD72BC"/>
    <w:rsid w:val="00FE0E92"/>
    <w:rsid w:val="00FE3C18"/>
    <w:rsid w:val="00FE5078"/>
    <w:rsid w:val="00FF0140"/>
    <w:rsid w:val="00FF0A6D"/>
    <w:rsid w:val="00FF12DB"/>
    <w:rsid w:val="00FF149F"/>
    <w:rsid w:val="00FF1C29"/>
    <w:rsid w:val="00FF2BA1"/>
    <w:rsid w:val="00FF5E10"/>
    <w:rsid w:val="01556C11"/>
    <w:rsid w:val="04B91A92"/>
    <w:rsid w:val="050822E4"/>
    <w:rsid w:val="06B66E61"/>
    <w:rsid w:val="07DA71DD"/>
    <w:rsid w:val="08E54678"/>
    <w:rsid w:val="09145663"/>
    <w:rsid w:val="09A25DCD"/>
    <w:rsid w:val="0ABF5174"/>
    <w:rsid w:val="0BF263F6"/>
    <w:rsid w:val="0D552244"/>
    <w:rsid w:val="10366EA9"/>
    <w:rsid w:val="11350B6D"/>
    <w:rsid w:val="12E20021"/>
    <w:rsid w:val="14666445"/>
    <w:rsid w:val="16C678ED"/>
    <w:rsid w:val="191F2A45"/>
    <w:rsid w:val="1C78090C"/>
    <w:rsid w:val="1D8F7A29"/>
    <w:rsid w:val="1DFA2A35"/>
    <w:rsid w:val="1E76328D"/>
    <w:rsid w:val="1F70586F"/>
    <w:rsid w:val="20A71D9E"/>
    <w:rsid w:val="28970834"/>
    <w:rsid w:val="2B11557E"/>
    <w:rsid w:val="2B140DE0"/>
    <w:rsid w:val="2CFE4742"/>
    <w:rsid w:val="2D770BDA"/>
    <w:rsid w:val="2F531CDD"/>
    <w:rsid w:val="306F30AD"/>
    <w:rsid w:val="30BC1803"/>
    <w:rsid w:val="31F72417"/>
    <w:rsid w:val="325818B8"/>
    <w:rsid w:val="34B96D40"/>
    <w:rsid w:val="34C67D99"/>
    <w:rsid w:val="361E4910"/>
    <w:rsid w:val="364C1E9A"/>
    <w:rsid w:val="37813006"/>
    <w:rsid w:val="38976E3F"/>
    <w:rsid w:val="38C53974"/>
    <w:rsid w:val="3BD941CF"/>
    <w:rsid w:val="3C14762B"/>
    <w:rsid w:val="3E0324E7"/>
    <w:rsid w:val="3E884054"/>
    <w:rsid w:val="411B3063"/>
    <w:rsid w:val="428C719B"/>
    <w:rsid w:val="437C3786"/>
    <w:rsid w:val="43F73C52"/>
    <w:rsid w:val="449A7DFC"/>
    <w:rsid w:val="459C2777"/>
    <w:rsid w:val="45B93647"/>
    <w:rsid w:val="49D3737F"/>
    <w:rsid w:val="4B1A6F87"/>
    <w:rsid w:val="4B337FFF"/>
    <w:rsid w:val="4BEC5CFA"/>
    <w:rsid w:val="4D2001B7"/>
    <w:rsid w:val="4DD32F1E"/>
    <w:rsid w:val="4E0C3F18"/>
    <w:rsid w:val="50053CF4"/>
    <w:rsid w:val="52E55735"/>
    <w:rsid w:val="52EB6E24"/>
    <w:rsid w:val="539354E6"/>
    <w:rsid w:val="54964D70"/>
    <w:rsid w:val="54F12E40"/>
    <w:rsid w:val="561141AC"/>
    <w:rsid w:val="56BE6BB7"/>
    <w:rsid w:val="571741AE"/>
    <w:rsid w:val="58A83EC4"/>
    <w:rsid w:val="58B4254A"/>
    <w:rsid w:val="592A6379"/>
    <w:rsid w:val="5A74178C"/>
    <w:rsid w:val="5ACD132B"/>
    <w:rsid w:val="5AE520DC"/>
    <w:rsid w:val="5C5725E1"/>
    <w:rsid w:val="5C937967"/>
    <w:rsid w:val="5E363CD7"/>
    <w:rsid w:val="60A722EC"/>
    <w:rsid w:val="631740F6"/>
    <w:rsid w:val="693B4744"/>
    <w:rsid w:val="6A5A707F"/>
    <w:rsid w:val="6B0B05D5"/>
    <w:rsid w:val="700E7B08"/>
    <w:rsid w:val="719E6721"/>
    <w:rsid w:val="73462DA3"/>
    <w:rsid w:val="73DF5965"/>
    <w:rsid w:val="75502A31"/>
    <w:rsid w:val="767A141A"/>
    <w:rsid w:val="77FA75B7"/>
    <w:rsid w:val="7B80189B"/>
    <w:rsid w:val="7D3D5B7C"/>
    <w:rsid w:val="7E7A6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autoRedefine/>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Char Char Char Char Char Char Char Char Char Char Char Char Char Char Char Char"/>
    <w:basedOn w:val="1"/>
    <w:autoRedefine/>
    <w:qFormat/>
    <w:uiPriority w:val="0"/>
    <w:pPr>
      <w:tabs>
        <w:tab w:val="left" w:pos="360"/>
      </w:tabs>
    </w:pPr>
    <w:rPr>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1022</Words>
  <Characters>1070</Characters>
  <Lines>8</Lines>
  <Paragraphs>2</Paragraphs>
  <TotalTime>1</TotalTime>
  <ScaleCrop>false</ScaleCrop>
  <LinksUpToDate>false</LinksUpToDate>
  <CharactersWithSpaces>1103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2021-09-02T08:27:00Z</dcterms:created>
  <dc:creator>高波</dc:creator>
  <cp:lastModifiedBy>lwl</cp:lastModifiedBy>
  <cp:lastPrinted>2024-04-19T07:13:33Z</cp:lastPrinted>
  <dcterms:modified xsi:type="dcterms:W3CDTF">2024-04-19T07:14:10Z</dcterms:modified>
  <dc:title>贵港市2013年第四十四期</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D129954997264E8C95DD4BCB95DE0E23</vt:lpwstr>
  </property>
</Properties>
</file>