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贵港市 2024年第三期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国有建设用地使用权挂牌出让须知 </w:t>
      </w:r>
    </w:p>
    <w:p>
      <w:pPr>
        <w:spacing w:line="560"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 xml:space="preserve">（网上交易） </w:t>
      </w:r>
    </w:p>
    <w:p>
      <w:pPr>
        <w:spacing w:before="156" w:beforeLines="50" w:after="156" w:afterLines="50" w:line="52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lang w:val="en-US" w:eastAsia="zh-CN"/>
        </w:rPr>
        <w:t>一、</w:t>
      </w:r>
      <w:r>
        <w:rPr>
          <w:rFonts w:hint="eastAsia" w:ascii="仿宋_GB2312" w:hAnsi="仿宋" w:eastAsia="仿宋_GB2312"/>
          <w:sz w:val="32"/>
          <w:szCs w:val="32"/>
          <w:lang w:val="en-US" w:eastAsia="zh-CN"/>
        </w:rPr>
        <w:t>本期挂牌宗地位于：</w:t>
      </w:r>
      <w:r>
        <w:rPr>
          <w:rFonts w:hint="default" w:ascii="仿宋_GB2312" w:hAnsi="仿宋" w:eastAsia="仿宋_GB2312"/>
          <w:sz w:val="32"/>
          <w:szCs w:val="32"/>
          <w:u w:val="single"/>
          <w:lang w:val="en-US" w:eastAsia="zh-CN"/>
        </w:rPr>
        <w:t>贵港市产业园区江南园安澜路与工业一路交汇处西北角</w:t>
      </w:r>
      <w:r>
        <w:rPr>
          <w:rFonts w:hint="eastAsia" w:ascii="仿宋_GB2312" w:hAnsi="仿宋" w:eastAsia="仿宋_GB2312"/>
          <w:sz w:val="32"/>
          <w:szCs w:val="32"/>
          <w:lang w:val="en-US" w:eastAsia="zh-CN"/>
        </w:rPr>
        <w:t>，总出让面积</w:t>
      </w:r>
      <w:r>
        <w:rPr>
          <w:rFonts w:hint="default" w:ascii="仿宋_GB2312" w:hAnsi="仿宋" w:eastAsia="仿宋_GB2312"/>
          <w:sz w:val="32"/>
          <w:szCs w:val="32"/>
          <w:u w:val="single"/>
          <w:lang w:val="en-US" w:eastAsia="zh-CN"/>
        </w:rPr>
        <w:t>20112.30㎡（折合30.169亩）</w:t>
      </w:r>
      <w:r>
        <w:rPr>
          <w:rFonts w:hint="eastAsia" w:ascii="仿宋_GB2312" w:hAnsi="仿宋" w:eastAsia="仿宋_GB2312"/>
          <w:sz w:val="32"/>
          <w:szCs w:val="32"/>
          <w:u w:val="none"/>
          <w:lang w:val="en-US" w:eastAsia="zh-CN"/>
        </w:rPr>
        <w:t>，</w:t>
      </w:r>
      <w:r>
        <w:rPr>
          <w:rFonts w:hint="eastAsia" w:ascii="仿宋_GB2312" w:hAnsi="仿宋" w:eastAsia="仿宋_GB2312"/>
          <w:sz w:val="32"/>
          <w:szCs w:val="32"/>
          <w:lang w:val="en-US" w:eastAsia="zh-CN"/>
        </w:rPr>
        <w:t>规划用途为：</w:t>
      </w:r>
      <w:r>
        <w:rPr>
          <w:rFonts w:hint="eastAsia" w:ascii="仿宋_GB2312" w:hAnsi="仿宋" w:eastAsia="仿宋_GB2312"/>
          <w:sz w:val="32"/>
          <w:szCs w:val="32"/>
          <w:u w:val="single"/>
          <w:lang w:val="en-US" w:eastAsia="zh-CN"/>
        </w:rPr>
        <w:t>工业用地</w:t>
      </w:r>
      <w:r>
        <w:rPr>
          <w:rFonts w:hint="eastAsia" w:ascii="仿宋_GB2312" w:hAnsi="仿宋" w:eastAsia="仿宋_GB2312"/>
          <w:sz w:val="32"/>
          <w:szCs w:val="32"/>
          <w:lang w:val="en-US" w:eastAsia="zh-CN"/>
        </w:rPr>
        <w:t xml:space="preserve">。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二、报名申请和资格审查 </w:t>
      </w:r>
    </w:p>
    <w:p>
      <w:pPr>
        <w:spacing w:before="156" w:beforeLines="50" w:after="156" w:afterLines="50"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（一）用户注册</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竞买申请人登录广西壮族自治区公共资源交易平台系统（贵港） （http://202.103.240.162:8081/GgzyjySSO/login/oauth2login?PlatformCode=E4508002851）（以下简称网上交易系统））进行用户注册。详细操作流程请登录全国公共交易平台（广西 壮 族 自 治 区 ） 官 网 中 的 综合 服 务 - 办 事 指 南http://ggzy.jgswj.gxzf.gov.cn/gxggzy/gywm/004021/004021001/policyLaws.html）下载权益类交易（土地使用权操作手册）。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（二）数字证书办理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竞买申请人在参加竞买前需办理数字证书方可登入网上交易系统。数字证书的办理请登录广西壮族自治区公共资源交易平台系统数字证书（ CA ）交叉互认平台（ 网 址 ：</w:t>
      </w: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 HYPERLINK "http://ggzy.jgswj.gxzf.gov.cn/gxggzy/CAhrpt/CAlogin.html）。"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t>http://ggzy.jgswj.gxzf.gov.cn/gxggzy/CAhrpt/CAlogin.html）。</w:t>
      </w:r>
      <w:r>
        <w:rPr>
          <w:rFonts w:hint="eastAsia" w:ascii="仿宋_GB2312" w:hAnsi="仿宋" w:eastAsia="仿宋_GB2312"/>
          <w:sz w:val="32"/>
          <w:szCs w:val="32"/>
          <w:lang w:val="en-US" w:eastAsia="zh-CN"/>
        </w:rPr>
        <w:fldChar w:fldCharType="end"/>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（三）报名申请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竞买申请人在提交竞买申请前，应当详细阅读网上出让公 告、出让须知等文件。竞买申请书一经提交，即视为对网上交易系统交易规则、出让文件无异议。</w:t>
      </w:r>
      <w:r>
        <w:rPr>
          <w:rFonts w:hint="eastAsia" w:ascii="仿宋_GB2312" w:hAnsi="宋体" w:eastAsia="仿宋_GB2312"/>
          <w:sz w:val="32"/>
          <w:szCs w:val="32"/>
        </w:rPr>
        <w:t>有意竞买人可在挂牌报名截止时间前</w:t>
      </w:r>
      <w:r>
        <w:rPr>
          <w:rFonts w:hint="eastAsia" w:ascii="仿宋_GB2312" w:hAnsi="仿宋" w:eastAsia="仿宋_GB2312"/>
          <w:sz w:val="32"/>
          <w:szCs w:val="32"/>
          <w:lang w:val="en-US" w:eastAsia="zh-CN"/>
        </w:rPr>
        <w:t xml:space="preserve">登入网上交易系统扫描上传以下材料：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1.竞买申请书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2.法人单位有效证明文件（需盖单位公章）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3.法定代表人的有效身份证明文件 （需盖单位公章）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4.申请人委托他人办理的，应提交授权委托书及委托代理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人的有效身份证明文件（需盖单位公章）</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5.资信证明（商业金融机构出具的资信证明）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6.承诺书（竞买保证金不属于银行贷款、股东借款、转贷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和募集资金的承诺书）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7.联合申请的，提交联合竞买协议，协议要规定联合各方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的权利、义务 </w:t>
      </w:r>
    </w:p>
    <w:p>
      <w:pPr>
        <w:keepNext w:val="0"/>
        <w:keepLines w:val="0"/>
        <w:widowControl/>
        <w:suppressLineNumbers w:val="0"/>
        <w:jc w:val="left"/>
      </w:pPr>
      <w:r>
        <w:rPr>
          <w:rFonts w:hint="eastAsia" w:ascii="仿宋" w:hAnsi="仿宋" w:eastAsia="仿宋" w:cs="仿宋"/>
          <w:b/>
          <w:bCs/>
          <w:color w:val="333333"/>
          <w:kern w:val="0"/>
          <w:sz w:val="31"/>
          <w:szCs w:val="31"/>
          <w:lang w:val="en-US" w:eastAsia="zh-CN" w:bidi="ar"/>
        </w:rPr>
        <w:t xml:space="preserve">注：相关模板可详见公告附件。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（四）资格审查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竞买人在挂牌出让公告规定的时间内交纳竞买保证金且并进行报名申请，由出让人进行资格审查。</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（五）确认竞买人资格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出让人对竞买资格审查通过后，交易中心给予确认竞买人资格，竞买人方能进行竞买。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（六）挂牌竞价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凡报名成功按时交纳竞买保证金并通过网上交易系统获取竞买资格的申请人可进行网上挂牌报价。竞买申请人可在竞价询问期内（具体由竞买人登入网上交易系统查看）决定是否参与延时竞价。 </w:t>
      </w:r>
    </w:p>
    <w:p>
      <w:pPr>
        <w:keepNext w:val="0"/>
        <w:keepLines w:val="0"/>
        <w:pageBreakBefore w:val="0"/>
        <w:widowControl w:val="0"/>
        <w:numPr>
          <w:ilvl w:val="0"/>
          <w:numId w:val="1"/>
        </w:numPr>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成交当日确定竞得人后，竞得人需到贵港市公共资源交易中心签订《成交确认书》并领取交易服务费《缴款通知》</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三、报价规则 </w:t>
      </w:r>
    </w:p>
    <w:p>
      <w:pPr>
        <w:keepNext w:val="0"/>
        <w:keepLines w:val="0"/>
        <w:pageBreakBefore w:val="0"/>
        <w:widowControl w:val="0"/>
        <w:kinsoku/>
        <w:wordWrap w:val="0"/>
        <w:overflowPunct/>
        <w:topLinePunct w:val="0"/>
        <w:autoSpaceDE/>
        <w:autoSpaceDN/>
        <w:bidi w:val="0"/>
        <w:adjustRightInd/>
        <w:snapToGrid/>
        <w:spacing w:line="520" w:lineRule="exact"/>
        <w:ind w:firstLine="620" w:firstLineChars="200"/>
        <w:textAlignment w:val="auto"/>
        <w:rPr>
          <w:rFonts w:hint="eastAsia" w:ascii="仿宋_GB2312" w:hAnsi="宋体" w:eastAsia="仿宋_GB2312"/>
          <w:sz w:val="32"/>
          <w:szCs w:val="32"/>
          <w:lang w:val="en-US" w:eastAsia="zh-CN"/>
        </w:rPr>
      </w:pPr>
      <w:r>
        <w:rPr>
          <w:rFonts w:hint="eastAsia" w:ascii="仿宋" w:hAnsi="仿宋" w:eastAsia="仿宋" w:cs="仿宋"/>
          <w:color w:val="000000"/>
          <w:kern w:val="0"/>
          <w:sz w:val="31"/>
          <w:szCs w:val="31"/>
          <w:lang w:val="en-US" w:eastAsia="zh-CN" w:bidi="ar"/>
        </w:rPr>
        <w:t>（</w:t>
      </w:r>
      <w:r>
        <w:rPr>
          <w:rFonts w:hint="eastAsia" w:ascii="仿宋_GB2312" w:hAnsi="宋体" w:eastAsia="仿宋_GB2312"/>
          <w:sz w:val="32"/>
          <w:szCs w:val="32"/>
          <w:lang w:val="en-US" w:eastAsia="zh-CN"/>
        </w:rPr>
        <w:t>一）实行有底价的公开挂牌出让，即挂牌公布起始价后， 由竞买人出价，出价最高且不低于挂牌底价者取得土地使用权。</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（二）本次挂牌以增价方式进行报价。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（三）竞买人在挂牌期限内通过网上交易系统进行报价， </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一经报出，不得撤回。 </w:t>
      </w:r>
    </w:p>
    <w:p>
      <w:pPr>
        <w:keepNext w:val="0"/>
        <w:keepLines w:val="0"/>
        <w:pageBreakBefore w:val="0"/>
        <w:widowControl w:val="0"/>
        <w:numPr>
          <w:ilvl w:val="0"/>
          <w:numId w:val="2"/>
        </w:numPr>
        <w:kinsoku/>
        <w:wordWrap w:val="0"/>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在报价期间，竞买人可多次报价。</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四、竞买人范围及其要求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一）中华人民共和国境内外的自然人、法人和其他组织，除法律另有规定者外，均可申请参加竞买。拖欠土地出让价款、被认定存在闲置土地、囤地炒地、土地开发规模超过实际开发能力、逾期不签订合同以及不履行土地出让合同行为的组织或个人，及其参与投资的企业均不得参加竞买。存在上述行为的，取消其竞买资格且不退还竞买保证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（二）竞买人可以单独申请竞买，也可以联合竞买。申请人属联合申请的，必须出具联合各方共同签署的合作协议。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（三）竞买申请人竞得土地后，拟成立新公司进行开发建设的，应在竞买申请书中明确新公司的出资构成、成立时间等内容。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（四）本次挂牌宗地均为现状出让，竞买申请一经受理确认后，即视为竞买人对挂牌文件及地块现状无异议并全部接受。</w:t>
      </w:r>
    </w:p>
    <w:p>
      <w:pPr>
        <w:spacing w:before="156" w:beforeLines="50" w:after="156" w:afterLines="50" w:line="520" w:lineRule="exact"/>
        <w:ind w:firstLine="643" w:firstLineChars="200"/>
        <w:rPr>
          <w:rFonts w:hint="default"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五、</w:t>
      </w:r>
      <w:r>
        <w:rPr>
          <w:rFonts w:hint="default" w:ascii="仿宋_GB2312" w:hAnsi="仿宋" w:eastAsia="仿宋_GB2312"/>
          <w:b/>
          <w:bCs/>
          <w:sz w:val="32"/>
          <w:szCs w:val="32"/>
          <w:lang w:val="en-US" w:eastAsia="zh-CN"/>
        </w:rPr>
        <w:t>出让的其他要求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竞得人所建设的项目必须符合贵港市产业园江南园规划布局的年产8万立方米绿色家居板材项目的建设要求。</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六、注意事项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（一）CA 数字证书作为登录网上交易系统的身份凭证，凡在网上交易平台系统上以竞买人的 CA 数字证书和密码登录进行的操作，均被视为竞买人本人的行为，竞买人应当对以其 CA数字证书进行的所有活动负法律责任。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（二）竞买人申请竞买应遵守网上交易系统设定的交易规则，因竞买人如下行为产生的一切后果，由竞买人承担：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1、未及时登录网上交易系统、未及时关注相关竞价信息、未及时出价等导致没有参加竞价活动的；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2、由于竞买人自身的终端设备和网络异常或操作不当等原因导致无法正常出价的；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宋体" w:eastAsia="仿宋_GB2312"/>
          <w:b/>
          <w:sz w:val="32"/>
          <w:szCs w:val="32"/>
          <w:lang w:val="en-US" w:eastAsia="zh-CN"/>
        </w:rPr>
      </w:pPr>
      <w:r>
        <w:rPr>
          <w:rFonts w:hint="eastAsia" w:ascii="仿宋_GB2312" w:hAnsi="仿宋" w:eastAsia="仿宋_GB2312"/>
          <w:sz w:val="32"/>
          <w:szCs w:val="32"/>
          <w:lang w:val="en-US" w:eastAsia="zh-CN"/>
        </w:rPr>
        <w:t xml:space="preserve">3、网络竞价的时间以网上交易系统服务器时间为准，由于竞买人自身终端设备时间与网上交易系统服务器时间不符而导致未能及时参与竞价的 。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七、交易服务费交纳 </w:t>
      </w:r>
    </w:p>
    <w:p>
      <w:pPr>
        <w:keepNext w:val="0"/>
        <w:keepLines w:val="0"/>
        <w:pageBreakBefore w:val="0"/>
        <w:widowControl w:val="0"/>
        <w:kinsoku/>
        <w:wordWrap w:val="0"/>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根据《贵港市发展和改革委员会关于重新明确贵港市公共资源交易中心收费主体和收费项目的复函》（贵发改函〔2019〕55 号）和《贵港市物价局关于贵港市公共资源交易服务中心服务收费有关问题的通知》（贵价费〔2016〕28 号）的规定,竞得人自成交之日起需向贵港市公共资源交易中心支付交易服务费。交易服务费未交清的，不予协助办理签订《国有建设用地使用权出让合同》等相关事宜。 </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八、出让合同签订要求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竞得人必须当场签订《成交确认书》，自成交之日起7个工作日内，与贵港市港南区工业园区管理委员会签订《工业项目“标准地”投资建设监管协议》，并持《成交确认书》和《工业项目“标准地”投资建设监管协议》到市自然资源局（出让人）签订《国有建设用地使用权出让合同》（以下简称《出让合同》）。如竞得人未履行上述约定的，将取消竞得人资格，竞买保证金不予退还。</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九、成交价款缴交要求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竞得人必须在签订《出让合同》之日起30日内支付不少于50%的成交价款，在签订《出让合同》之日起60日内付清成交价款。竞买保证金转作为成交价款（成交价款中不包含有关办证费用）。</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十、建设期限要求 </w:t>
      </w:r>
    </w:p>
    <w:p>
      <w:pPr>
        <w:spacing w:before="156" w:beforeLines="50" w:after="156" w:afterLines="50" w:line="52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竞得人必须在签订《出让合同》之日起3个月内开工建设，在签订《出让合同》之日起14个月内竣工，并在开工、竣工时向市自然资源局申</w:t>
      </w:r>
      <w:r>
        <w:rPr>
          <w:rFonts w:ascii="Times New Roman" w:hAnsi="Times New Roman" w:eastAsia="仿宋_GB2312"/>
          <w:color w:val="000000"/>
          <w:sz w:val="32"/>
          <w:szCs w:val="32"/>
        </w:rPr>
        <w:t>报建设用地开发利用情况</w:t>
      </w:r>
      <w:r>
        <w:rPr>
          <w:rFonts w:ascii="Times New Roman" w:hAnsi="Times New Roman" w:eastAsia="仿宋_GB2312"/>
          <w:color w:val="000000"/>
          <w:kern w:val="0"/>
          <w:sz w:val="32"/>
          <w:szCs w:val="32"/>
        </w:rPr>
        <w:t>。如遇到特殊情况，依法报经有关部门批准可延期的，延期时间最长不得超过1年。</w:t>
      </w:r>
    </w:p>
    <w:p>
      <w:pPr>
        <w:spacing w:before="156" w:beforeLines="50" w:after="156" w:afterLines="50" w:line="52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十一、违约责任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（一）除出让人原因外，竞得人逾期或拒绝签订《成交确认书》，不履行《成交确认书》约定义务的，视为竞得人违约，出让人有权取消竞得人资格，收回土地使用权，竞得人已交的竞买保证金不予退还。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（二）除出让人原因外，竞得人逾期或拒绝签订《出让合同》的，视为竞得人违约，出让人有权取消竞得人资格，收回土地使用权，竞得人已交的竞买保证金不予退还。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三）签订《出让合同》后，竞得人不能按时支付国有建设用地使用权出让价款的，自滞纳之日起，每日按迟延支付款项的1‰缴纳违约金，延期付款超过60日，出让人有权解除合同，竞得人无权要求返还定金，出让人并可要求竞得人赔偿损失。</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四）竞得人未能按照《出让合同》约定日期或同意延建所另行约定日期开工建设的，每延期1日，应支付相当于国有建设用地使用权出让价款总额1‰的违约金，最高不超过土地出让总价款的30%。自《出让合同》约定开工期限或同意延建所另行约定期限届满之日起，因竞得人自身原因逾期开工建设超过半年的，出让人解除《出让合同》，没收定金（定金金额为土地总出让价款的20%），退回剩余出让价款给受让人；竞得人未能按照《出让合同》约定日期或同意延建所另行约定日期竣工的，每延期1日，应向出让人支付相当于国有建设用地使用权出让价款总额1‰的违约金，最高不超过土地出让总价款的30%。宗地达到开工条件但因竞得人自身原因逾期竣工超过1年的，出让人收回国有建设用地使用权，没收定金，宗地范围内的建筑物、构筑物及其附属设施可不予补偿，出让人还可要求竞得人清除已建建筑物、构筑物及其附属设施，恢复场地平整。但出让人愿意继续利用该宗地范围内已建的建筑物、构筑物及其附属设施的，应按照建设成本（具体以财政部门核定为准）给予竞得人补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（五）竞得人造成土地闲置，闲置满1年不满2年的，应依法缴纳土地闲置费；土地闲置满2年且未开工建设的，出让人无偿收回国有建设用地使用权。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（六）项目投资强度未达到《出让合同》约定标准的，出让人可以按照实际差额部分占约定投资强度指标的比例，要求竞得人支付相当于同比例国有建设用地使用权出让价款的违约金，并可要求竞得人继续履约。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七）宗地建筑容积率、建筑系数等任何一项指标低于《出让合同》约定的最低标准的，出让人可以按照实际差额部分占约定最低标准的比例，要求竞得人支付相当于同比例国有建设用地使用权出让价款的违约金，并有权要求竞得人继续履行本合同。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八）工业建设项目的绿地率、企业内部行政办公及生活服务设施用地所占比例等任何一项指标超过《出让合同》约定标准的，竞得人应当向出让人支付相当于宗地出让价款1‰的违约金，并自行拆除相应的绿化和建筑设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九）竞得人须严格按《出让合同》中约定的土地用途进行开发建设，不得擅自改变。如擅自改变的，按城乡规划法依法查处；因城乡规划或公共利益需要改变土地用途，由市人民政府按原土地出让价格及经有关部门审核确认的地上合法开发的投入价格收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olor w:val="000000"/>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left"/>
        <w:textAlignment w:val="auto"/>
        <w:rPr>
          <w:rFonts w:hint="eastAsia" w:ascii="仿宋" w:hAnsi="仿宋" w:eastAsia="仿宋" w:cs="仿宋"/>
          <w:color w:val="000000"/>
          <w:kern w:val="0"/>
          <w:sz w:val="31"/>
          <w:szCs w:val="31"/>
          <w:lang w:val="en-US" w:eastAsia="zh-CN" w:bidi="ar"/>
        </w:rPr>
      </w:pPr>
      <w:r>
        <w:rPr>
          <w:rFonts w:hint="eastAsia" w:ascii="仿宋_GB2312" w:hAnsi="仿宋" w:eastAsia="仿宋_GB2312"/>
          <w:b/>
          <w:bCs/>
          <w:sz w:val="32"/>
          <w:szCs w:val="32"/>
          <w:lang w:val="en-US" w:eastAsia="zh-CN"/>
        </w:rPr>
        <w:t>十二、</w:t>
      </w:r>
      <w:r>
        <w:rPr>
          <w:rFonts w:hint="eastAsia" w:ascii="Times New Roman" w:hAnsi="Times New Roman" w:eastAsia="仿宋_GB2312" w:cs="Times New Roman"/>
          <w:color w:val="000000"/>
          <w:spacing w:val="0"/>
          <w:sz w:val="32"/>
          <w:szCs w:val="32"/>
          <w:lang w:val="en-US" w:eastAsia="zh-CN"/>
        </w:rPr>
        <w:t xml:space="preserve">竞得人在签订《国有建设用地使用权出让合同》之日起 </w:t>
      </w:r>
      <w:r>
        <w:rPr>
          <w:rFonts w:hint="default" w:ascii="Times New Roman" w:hAnsi="Times New Roman" w:eastAsia="仿宋_GB2312" w:cs="Times New Roman"/>
          <w:color w:val="000000"/>
          <w:spacing w:val="0"/>
          <w:sz w:val="32"/>
          <w:szCs w:val="32"/>
          <w:lang w:val="en-US" w:eastAsia="zh-CN"/>
        </w:rPr>
        <w:t>30</w:t>
      </w:r>
      <w:r>
        <w:rPr>
          <w:rFonts w:hint="eastAsia" w:ascii="Times New Roman" w:hAnsi="Times New Roman" w:eastAsia="仿宋_GB2312" w:cs="Times New Roman"/>
          <w:color w:val="000000"/>
          <w:spacing w:val="0"/>
          <w:sz w:val="32"/>
          <w:szCs w:val="32"/>
          <w:lang w:val="en-US" w:eastAsia="zh-CN"/>
        </w:rPr>
        <w:t xml:space="preserve">日内在竞得宗地现场设置《建设项目用地信息公示牌》，公示牌规格不小于 </w:t>
      </w:r>
      <w:r>
        <w:rPr>
          <w:rFonts w:hint="default" w:ascii="Times New Roman" w:hAnsi="Times New Roman" w:eastAsia="仿宋_GB2312" w:cs="Times New Roman"/>
          <w:color w:val="000000"/>
          <w:spacing w:val="0"/>
          <w:sz w:val="32"/>
          <w:szCs w:val="32"/>
          <w:lang w:val="en-US" w:eastAsia="zh-CN"/>
        </w:rPr>
        <w:t xml:space="preserve">200 </w:t>
      </w:r>
      <w:r>
        <w:rPr>
          <w:rFonts w:hint="eastAsia" w:ascii="Times New Roman" w:hAnsi="Times New Roman" w:eastAsia="仿宋_GB2312" w:cs="Times New Roman"/>
          <w:color w:val="000000"/>
          <w:spacing w:val="0"/>
          <w:sz w:val="32"/>
          <w:szCs w:val="32"/>
          <w:lang w:val="en-US" w:eastAsia="zh-CN"/>
        </w:rPr>
        <w:t>㎝×</w:t>
      </w:r>
      <w:r>
        <w:rPr>
          <w:rFonts w:hint="default" w:ascii="Times New Roman" w:hAnsi="Times New Roman" w:eastAsia="仿宋_GB2312" w:cs="Times New Roman"/>
          <w:color w:val="000000"/>
          <w:spacing w:val="0"/>
          <w:sz w:val="32"/>
          <w:szCs w:val="32"/>
          <w:lang w:val="en-US" w:eastAsia="zh-CN"/>
        </w:rPr>
        <w:t xml:space="preserve">150 </w:t>
      </w:r>
      <w:r>
        <w:rPr>
          <w:rFonts w:hint="eastAsia" w:ascii="Times New Roman" w:hAnsi="Times New Roman" w:eastAsia="仿宋_GB2312" w:cs="Times New Roman"/>
          <w:color w:val="000000"/>
          <w:spacing w:val="0"/>
          <w:sz w:val="32"/>
          <w:szCs w:val="32"/>
          <w:lang w:val="en-US" w:eastAsia="zh-CN"/>
        </w:rPr>
        <w:t>㎝，公示信息详见附件。</w:t>
      </w:r>
      <w:r>
        <w:rPr>
          <w:rFonts w:hint="eastAsia" w:ascii="仿宋" w:hAnsi="仿宋" w:eastAsia="仿宋" w:cs="仿宋"/>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43"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仿宋_GB2312" w:hAnsi="仿宋" w:eastAsia="仿宋_GB2312"/>
          <w:b/>
          <w:bCs/>
          <w:sz w:val="32"/>
          <w:szCs w:val="32"/>
          <w:lang w:val="en-US" w:eastAsia="zh-CN"/>
        </w:rPr>
        <w:t>十三、</w:t>
      </w:r>
      <w:r>
        <w:rPr>
          <w:rFonts w:hint="eastAsia" w:ascii="Times New Roman" w:hAnsi="Times New Roman" w:eastAsia="仿宋_GB2312" w:cs="Times New Roman"/>
          <w:color w:val="000000"/>
          <w:spacing w:val="0"/>
          <w:sz w:val="32"/>
          <w:szCs w:val="32"/>
          <w:lang w:val="en-US" w:eastAsia="zh-CN"/>
        </w:rPr>
        <w:t>本挂牌须知与贵公交告〔</w:t>
      </w:r>
      <w:r>
        <w:rPr>
          <w:rFonts w:hint="default" w:ascii="Times New Roman" w:hAnsi="Times New Roman" w:eastAsia="仿宋_GB2312" w:cs="Times New Roman"/>
          <w:color w:val="000000"/>
          <w:spacing w:val="0"/>
          <w:sz w:val="32"/>
          <w:szCs w:val="32"/>
          <w:lang w:val="en-US" w:eastAsia="zh-CN"/>
        </w:rPr>
        <w:t>202</w:t>
      </w:r>
      <w:r>
        <w:rPr>
          <w:rFonts w:hint="eastAsia" w:ascii="Times New Roman" w:hAnsi="Times New Roman" w:eastAsia="仿宋_GB2312" w:cs="Times New Roman"/>
          <w:color w:val="000000"/>
          <w:spacing w:val="0"/>
          <w:sz w:val="32"/>
          <w:szCs w:val="32"/>
          <w:lang w:val="en-US" w:eastAsia="zh-CN"/>
        </w:rPr>
        <w:t>4〕10号挂牌公告具有同等法律效力。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color w:val="000000"/>
          <w:spacing w:val="0"/>
          <w:sz w:val="32"/>
          <w:szCs w:val="32"/>
          <w:lang w:val="en-US" w:eastAsia="zh-CN"/>
        </w:rPr>
      </w:pPr>
      <w:r>
        <w:rPr>
          <w:rFonts w:hint="eastAsia" w:ascii="Times New Roman" w:hAnsi="Times New Roman" w:eastAsia="仿宋_GB2312" w:cs="Times New Roman"/>
          <w:color w:val="000000"/>
          <w:spacing w:val="0"/>
          <w:sz w:val="32"/>
          <w:szCs w:val="32"/>
          <w:lang w:val="en-US" w:eastAsia="zh-CN"/>
        </w:rPr>
        <w:t xml:space="preserve">附件：建设项目用地信息公示牌 </w:t>
      </w:r>
    </w:p>
    <w:p>
      <w:pPr>
        <w:keepNext w:val="0"/>
        <w:keepLines w:val="0"/>
        <w:widowControl/>
        <w:suppressLineNumbers w:val="0"/>
        <w:jc w:val="left"/>
      </w:pPr>
    </w:p>
    <w:p>
      <w:pPr>
        <w:spacing w:line="500" w:lineRule="exact"/>
        <w:ind w:firstLine="4800" w:firstLineChars="1500"/>
        <w:rPr>
          <w:rFonts w:hint="eastAsia" w:ascii="仿宋_GB2312" w:hAnsi="仿宋" w:eastAsia="仿宋_GB2312"/>
          <w:sz w:val="32"/>
          <w:szCs w:val="32"/>
        </w:rPr>
      </w:pPr>
    </w:p>
    <w:p>
      <w:pPr>
        <w:spacing w:line="500" w:lineRule="exact"/>
        <w:rPr>
          <w:rFonts w:hint="eastAsia" w:ascii="仿宋_GB2312" w:hAnsi="仿宋" w:eastAsia="仿宋_GB2312"/>
          <w:sz w:val="32"/>
          <w:szCs w:val="32"/>
        </w:rPr>
      </w:pPr>
    </w:p>
    <w:p>
      <w:pPr>
        <w:spacing w:line="500" w:lineRule="exact"/>
        <w:ind w:firstLine="4800" w:firstLineChars="1500"/>
        <w:rPr>
          <w:rFonts w:ascii="仿宋_GB2312" w:hAnsi="仿宋" w:eastAsia="仿宋_GB2312"/>
          <w:sz w:val="32"/>
          <w:szCs w:val="32"/>
        </w:rPr>
      </w:pPr>
      <w:r>
        <w:rPr>
          <w:rFonts w:hint="eastAsia" w:ascii="仿宋_GB2312" w:hAnsi="仿宋" w:eastAsia="仿宋_GB2312"/>
          <w:sz w:val="32"/>
          <w:szCs w:val="32"/>
        </w:rPr>
        <w:t>贵港市公共资源交易中心</w:t>
      </w:r>
    </w:p>
    <w:p>
      <w:pPr>
        <w:spacing w:line="500" w:lineRule="exact"/>
        <w:rPr>
          <w:rFonts w:ascii="仿宋_GB2312" w:hAnsi="仿宋" w:eastAsia="仿宋_GB2312"/>
          <w:sz w:val="32"/>
          <w:szCs w:val="32"/>
        </w:rPr>
      </w:pP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02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bookmarkStart w:id="0" w:name="_GoBack"/>
      <w:bookmarkEnd w:id="0"/>
      <w:r>
        <w:rPr>
          <w:rFonts w:hint="eastAsia" w:ascii="仿宋_GB2312" w:hAnsi="仿宋" w:eastAsia="仿宋_GB2312"/>
          <w:sz w:val="32"/>
          <w:szCs w:val="32"/>
        </w:rPr>
        <w:t>日</w:t>
      </w:r>
    </w:p>
    <w:p>
      <w:pPr>
        <w:rPr>
          <w:rFonts w:ascii="仿宋" w:hAnsi="仿宋" w:eastAsia="仿宋" w:cs="宋体"/>
          <w:b/>
          <w:kern w:val="0"/>
          <w:sz w:val="32"/>
          <w:szCs w:val="32"/>
        </w:rPr>
        <w:sectPr>
          <w:headerReference r:id="rId3" w:type="default"/>
          <w:footerReference r:id="rId4" w:type="default"/>
          <w:pgSz w:w="11906" w:h="16838"/>
          <w:pgMar w:top="1418" w:right="1418" w:bottom="1418" w:left="1701" w:header="851" w:footer="992" w:gutter="0"/>
          <w:cols w:space="720" w:num="1"/>
          <w:docGrid w:type="lines" w:linePitch="312" w:charSpace="0"/>
        </w:sectPr>
      </w:pPr>
    </w:p>
    <w:tbl>
      <w:tblPr>
        <w:tblStyle w:val="5"/>
        <w:tblpPr w:leftFromText="180" w:rightFromText="180" w:vertAnchor="text" w:horzAnchor="margin"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60"/>
        <w:gridCol w:w="25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968" w:type="dxa"/>
            <w:gridSpan w:val="4"/>
            <w:vAlign w:val="center"/>
          </w:tcPr>
          <w:p>
            <w:pPr>
              <w:jc w:val="center"/>
              <w:rPr>
                <w:sz w:val="20"/>
                <w:szCs w:val="20"/>
              </w:rPr>
            </w:pPr>
            <w:r>
              <w:rPr>
                <w:rFonts w:hint="eastAsia" w:ascii="Verdana" w:hAnsi="Verdana" w:cs="宋体"/>
                <w:b/>
                <w:kern w:val="0"/>
                <w:sz w:val="29"/>
                <w:szCs w:val="29"/>
              </w:rPr>
              <w:t>建设项目用地信息公示牌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建设项目用地基本情况</w:t>
            </w:r>
          </w:p>
        </w:tc>
        <w:tc>
          <w:tcPr>
            <w:tcW w:w="2160" w:type="dxa"/>
            <w:vAlign w:val="center"/>
          </w:tcPr>
          <w:p>
            <w:pPr>
              <w:spacing w:line="520" w:lineRule="exact"/>
              <w:jc w:val="center"/>
              <w:rPr>
                <w:sz w:val="24"/>
              </w:rPr>
            </w:pPr>
            <w:r>
              <w:rPr>
                <w:rFonts w:hint="eastAsia"/>
                <w:sz w:val="24"/>
              </w:rPr>
              <w:t>土地使用权人</w:t>
            </w:r>
          </w:p>
        </w:tc>
        <w:tc>
          <w:tcPr>
            <w:tcW w:w="2520" w:type="dxa"/>
            <w:vAlign w:val="center"/>
          </w:tcPr>
          <w:p>
            <w:pPr>
              <w:jc w:val="left"/>
              <w:rPr>
                <w:sz w:val="20"/>
                <w:szCs w:val="20"/>
              </w:rPr>
            </w:pPr>
          </w:p>
        </w:tc>
        <w:tc>
          <w:tcPr>
            <w:tcW w:w="7020" w:type="dxa"/>
            <w:vMerge w:val="restart"/>
            <w:vAlign w:val="center"/>
          </w:tcPr>
          <w:p>
            <w:pPr>
              <w:jc w:val="center"/>
              <w:rPr>
                <w:sz w:val="20"/>
                <w:szCs w:val="20"/>
              </w:rPr>
            </w:pPr>
            <w:r>
              <w:rPr>
                <w:rFonts w:hint="eastAsia"/>
                <w:sz w:val="20"/>
                <w:szCs w:val="20"/>
              </w:rPr>
              <w:t>请粘贴土地坐落图片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土地坐落</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土地用途</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用地面积</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供地方式</w:t>
            </w:r>
          </w:p>
        </w:tc>
        <w:tc>
          <w:tcPr>
            <w:tcW w:w="2520" w:type="dxa"/>
            <w:vAlign w:val="center"/>
          </w:tcPr>
          <w:p>
            <w:pPr>
              <w:jc w:val="left"/>
              <w:rPr>
                <w:sz w:val="20"/>
                <w:szCs w:val="20"/>
              </w:rPr>
            </w:pPr>
            <w:r>
              <w:rPr>
                <w:rFonts w:hint="eastAsia"/>
                <w:sz w:val="20"/>
                <w:szCs w:val="20"/>
              </w:rPr>
              <w:t>挂牌出让</w:t>
            </w:r>
          </w:p>
        </w:tc>
        <w:tc>
          <w:tcPr>
            <w:tcW w:w="7020" w:type="dxa"/>
            <w:vMerge w:val="continue"/>
            <w:vAlign w:val="center"/>
          </w:tcPr>
          <w:p>
            <w:pPr>
              <w:jc w:val="center"/>
              <w:rPr>
                <w:sz w:val="20"/>
                <w:szCs w:val="20"/>
              </w:rPr>
            </w:pPr>
          </w:p>
        </w:tc>
      </w:tr>
      <w:tr>
        <w:tblPrEx>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出让合同编号</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CellMar>
            <w:top w:w="0" w:type="dxa"/>
            <w:left w:w="108" w:type="dxa"/>
            <w:bottom w:w="0" w:type="dxa"/>
            <w:right w:w="108" w:type="dxa"/>
          </w:tblCellMar>
        </w:tblPrEx>
        <w:trPr>
          <w:trHeight w:val="397" w:hRule="atLeast"/>
        </w:trPr>
        <w:tc>
          <w:tcPr>
            <w:tcW w:w="2268" w:type="dxa"/>
            <w:vMerge w:val="restart"/>
            <w:textDirection w:val="tbRlV"/>
            <w:vAlign w:val="center"/>
          </w:tcPr>
          <w:p>
            <w:pPr>
              <w:spacing w:line="520" w:lineRule="exact"/>
              <w:ind w:left="113" w:right="113"/>
              <w:jc w:val="center"/>
              <w:rPr>
                <w:sz w:val="24"/>
              </w:rPr>
            </w:pPr>
            <w:r>
              <w:rPr>
                <w:rFonts w:hint="eastAsia"/>
                <w:sz w:val="24"/>
              </w:rPr>
              <w:t>规划条件</w:t>
            </w:r>
          </w:p>
        </w:tc>
        <w:tc>
          <w:tcPr>
            <w:tcW w:w="2160" w:type="dxa"/>
            <w:vAlign w:val="center"/>
          </w:tcPr>
          <w:p>
            <w:pPr>
              <w:spacing w:line="520" w:lineRule="exact"/>
              <w:jc w:val="center"/>
              <w:rPr>
                <w:sz w:val="24"/>
              </w:rPr>
            </w:pPr>
            <w:r>
              <w:rPr>
                <w:rFonts w:hint="eastAsia"/>
                <w:sz w:val="24"/>
              </w:rPr>
              <w:t>容积率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建筑密度</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绿地率</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Merge w:val="continue"/>
            <w:vAlign w:val="center"/>
          </w:tcPr>
          <w:p>
            <w:pPr>
              <w:spacing w:line="520" w:lineRule="exact"/>
              <w:jc w:val="center"/>
              <w:rPr>
                <w:sz w:val="24"/>
              </w:rPr>
            </w:pPr>
          </w:p>
        </w:tc>
        <w:tc>
          <w:tcPr>
            <w:tcW w:w="2160" w:type="dxa"/>
            <w:vAlign w:val="center"/>
          </w:tcPr>
          <w:p>
            <w:pPr>
              <w:spacing w:line="520" w:lineRule="exact"/>
              <w:jc w:val="center"/>
              <w:rPr>
                <w:sz w:val="24"/>
              </w:rPr>
            </w:pPr>
            <w:r>
              <w:rPr>
                <w:rFonts w:hint="eastAsia"/>
                <w:sz w:val="24"/>
              </w:rPr>
              <w:t>使用期限</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约定开工时间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约定竣工时间</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28" w:type="dxa"/>
            <w:gridSpan w:val="2"/>
            <w:vAlign w:val="center"/>
          </w:tcPr>
          <w:p>
            <w:pPr>
              <w:spacing w:line="520" w:lineRule="exact"/>
              <w:jc w:val="center"/>
              <w:rPr>
                <w:sz w:val="24"/>
              </w:rPr>
            </w:pPr>
            <w:r>
              <w:rPr>
                <w:rFonts w:hint="eastAsia"/>
                <w:sz w:val="24"/>
              </w:rPr>
              <w:t>监管机构</w:t>
            </w:r>
          </w:p>
        </w:tc>
        <w:tc>
          <w:tcPr>
            <w:tcW w:w="2520" w:type="dxa"/>
            <w:vAlign w:val="center"/>
          </w:tcPr>
          <w:p>
            <w:pPr>
              <w:jc w:val="left"/>
              <w:rPr>
                <w:sz w:val="20"/>
                <w:szCs w:val="20"/>
              </w:rPr>
            </w:pPr>
            <w:r>
              <w:rPr>
                <w:rFonts w:hint="eastAsia"/>
                <w:sz w:val="20"/>
                <w:szCs w:val="20"/>
              </w:rPr>
              <w:t>贵港市自然资源局</w:t>
            </w:r>
            <w:r>
              <w:rPr>
                <w:sz w:val="20"/>
                <w:szCs w:val="20"/>
              </w:rPr>
              <w:t>0775-</w:t>
            </w:r>
            <w:r>
              <w:rPr>
                <w:rFonts w:hint="eastAsia"/>
                <w:sz w:val="20"/>
                <w:szCs w:val="20"/>
              </w:rPr>
              <w:t>4286071</w:t>
            </w:r>
          </w:p>
        </w:tc>
        <w:tc>
          <w:tcPr>
            <w:tcW w:w="7020"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428" w:type="dxa"/>
            <w:gridSpan w:val="2"/>
            <w:vAlign w:val="center"/>
          </w:tcPr>
          <w:p>
            <w:pPr>
              <w:spacing w:line="520" w:lineRule="exact"/>
              <w:jc w:val="center"/>
              <w:rPr>
                <w:sz w:val="24"/>
              </w:rPr>
            </w:pPr>
            <w:r>
              <w:rPr>
                <w:rFonts w:hint="eastAsia"/>
                <w:sz w:val="24"/>
              </w:rPr>
              <w:t>举报电话</w:t>
            </w:r>
          </w:p>
        </w:tc>
        <w:tc>
          <w:tcPr>
            <w:tcW w:w="2520" w:type="dxa"/>
            <w:vAlign w:val="center"/>
          </w:tcPr>
          <w:p>
            <w:pPr>
              <w:jc w:val="left"/>
              <w:rPr>
                <w:sz w:val="20"/>
                <w:szCs w:val="20"/>
              </w:rPr>
            </w:pPr>
          </w:p>
        </w:tc>
        <w:tc>
          <w:tcPr>
            <w:tcW w:w="7020" w:type="dxa"/>
            <w:vMerge w:val="continue"/>
            <w:vAlign w:val="center"/>
          </w:tcPr>
          <w:p>
            <w:pPr>
              <w:jc w:val="center"/>
              <w:rPr>
                <w:sz w:val="20"/>
                <w:szCs w:val="20"/>
              </w:rPr>
            </w:pPr>
          </w:p>
        </w:tc>
      </w:tr>
    </w:tbl>
    <w:p/>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9ED79"/>
    <w:multiLevelType w:val="singleLevel"/>
    <w:tmpl w:val="E0E9ED79"/>
    <w:lvl w:ilvl="0" w:tentative="0">
      <w:start w:val="7"/>
      <w:numFmt w:val="chineseCounting"/>
      <w:suff w:val="nothing"/>
      <w:lvlText w:val="（%1）"/>
      <w:lvlJc w:val="left"/>
      <w:rPr>
        <w:rFonts w:hint="eastAsia"/>
      </w:rPr>
    </w:lvl>
  </w:abstractNum>
  <w:abstractNum w:abstractNumId="1">
    <w:nsid w:val="12E69465"/>
    <w:multiLevelType w:val="singleLevel"/>
    <w:tmpl w:val="12E6946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0YjFkZjAxMmE1ZDBlZGZlZWQxODEwMGI5YTJjZWQifQ=="/>
  </w:docVars>
  <w:rsids>
    <w:rsidRoot w:val="00B73A99"/>
    <w:rsid w:val="00001A18"/>
    <w:rsid w:val="00002037"/>
    <w:rsid w:val="00004A07"/>
    <w:rsid w:val="0000634F"/>
    <w:rsid w:val="000103C0"/>
    <w:rsid w:val="00011CEB"/>
    <w:rsid w:val="00012101"/>
    <w:rsid w:val="0001580E"/>
    <w:rsid w:val="0001758E"/>
    <w:rsid w:val="00021952"/>
    <w:rsid w:val="00023BD5"/>
    <w:rsid w:val="00025403"/>
    <w:rsid w:val="00027703"/>
    <w:rsid w:val="00032793"/>
    <w:rsid w:val="00032E4A"/>
    <w:rsid w:val="00033660"/>
    <w:rsid w:val="00037CEB"/>
    <w:rsid w:val="00041786"/>
    <w:rsid w:val="00042E1E"/>
    <w:rsid w:val="000438A0"/>
    <w:rsid w:val="00053896"/>
    <w:rsid w:val="00057BBE"/>
    <w:rsid w:val="000607B8"/>
    <w:rsid w:val="00061734"/>
    <w:rsid w:val="0006368F"/>
    <w:rsid w:val="000648CD"/>
    <w:rsid w:val="000714ED"/>
    <w:rsid w:val="00076E29"/>
    <w:rsid w:val="0007732F"/>
    <w:rsid w:val="000815CF"/>
    <w:rsid w:val="00087AFF"/>
    <w:rsid w:val="00087BCC"/>
    <w:rsid w:val="00087EB2"/>
    <w:rsid w:val="00090F48"/>
    <w:rsid w:val="0009401E"/>
    <w:rsid w:val="000A3CAE"/>
    <w:rsid w:val="000A42AD"/>
    <w:rsid w:val="000A73E5"/>
    <w:rsid w:val="000B0334"/>
    <w:rsid w:val="000B475A"/>
    <w:rsid w:val="000B6896"/>
    <w:rsid w:val="000B73E8"/>
    <w:rsid w:val="000C0791"/>
    <w:rsid w:val="000D772B"/>
    <w:rsid w:val="000D7E1C"/>
    <w:rsid w:val="000E6ECD"/>
    <w:rsid w:val="000E6F08"/>
    <w:rsid w:val="001021AA"/>
    <w:rsid w:val="00102237"/>
    <w:rsid w:val="00103DAF"/>
    <w:rsid w:val="00104944"/>
    <w:rsid w:val="0011416D"/>
    <w:rsid w:val="0011695C"/>
    <w:rsid w:val="00117C27"/>
    <w:rsid w:val="001260EA"/>
    <w:rsid w:val="0012619B"/>
    <w:rsid w:val="0013041B"/>
    <w:rsid w:val="001341E9"/>
    <w:rsid w:val="00135C1B"/>
    <w:rsid w:val="00136E05"/>
    <w:rsid w:val="001423B4"/>
    <w:rsid w:val="00146F35"/>
    <w:rsid w:val="0014707D"/>
    <w:rsid w:val="001500B5"/>
    <w:rsid w:val="00150782"/>
    <w:rsid w:val="00152B63"/>
    <w:rsid w:val="00155146"/>
    <w:rsid w:val="00157802"/>
    <w:rsid w:val="00165BCB"/>
    <w:rsid w:val="001665D0"/>
    <w:rsid w:val="001752C8"/>
    <w:rsid w:val="001757F5"/>
    <w:rsid w:val="001814A2"/>
    <w:rsid w:val="00182A4F"/>
    <w:rsid w:val="00184006"/>
    <w:rsid w:val="00184C32"/>
    <w:rsid w:val="001860B5"/>
    <w:rsid w:val="0018691E"/>
    <w:rsid w:val="00190FF9"/>
    <w:rsid w:val="001915B9"/>
    <w:rsid w:val="001A0EAE"/>
    <w:rsid w:val="001A1073"/>
    <w:rsid w:val="001A1090"/>
    <w:rsid w:val="001A4473"/>
    <w:rsid w:val="001A53FA"/>
    <w:rsid w:val="001A6ED4"/>
    <w:rsid w:val="001A7347"/>
    <w:rsid w:val="001B38BE"/>
    <w:rsid w:val="001B4B59"/>
    <w:rsid w:val="001B4C95"/>
    <w:rsid w:val="001C26D4"/>
    <w:rsid w:val="001C61B6"/>
    <w:rsid w:val="001C662A"/>
    <w:rsid w:val="001D40F6"/>
    <w:rsid w:val="001D5E25"/>
    <w:rsid w:val="001E09BC"/>
    <w:rsid w:val="001E3C5D"/>
    <w:rsid w:val="001E648A"/>
    <w:rsid w:val="001F02A0"/>
    <w:rsid w:val="001F2CBC"/>
    <w:rsid w:val="001F37FA"/>
    <w:rsid w:val="001F4451"/>
    <w:rsid w:val="00202843"/>
    <w:rsid w:val="00202B27"/>
    <w:rsid w:val="00203057"/>
    <w:rsid w:val="002049B6"/>
    <w:rsid w:val="00207FA5"/>
    <w:rsid w:val="00217F4C"/>
    <w:rsid w:val="00221617"/>
    <w:rsid w:val="002220C9"/>
    <w:rsid w:val="00235A15"/>
    <w:rsid w:val="00236EB2"/>
    <w:rsid w:val="002434B8"/>
    <w:rsid w:val="002437E3"/>
    <w:rsid w:val="00244103"/>
    <w:rsid w:val="00246BEA"/>
    <w:rsid w:val="00247638"/>
    <w:rsid w:val="00247C5F"/>
    <w:rsid w:val="00250BF8"/>
    <w:rsid w:val="00252C35"/>
    <w:rsid w:val="00253B4A"/>
    <w:rsid w:val="00255B56"/>
    <w:rsid w:val="00265FB7"/>
    <w:rsid w:val="0026602C"/>
    <w:rsid w:val="002664B6"/>
    <w:rsid w:val="00275104"/>
    <w:rsid w:val="00280779"/>
    <w:rsid w:val="0028444A"/>
    <w:rsid w:val="0028491C"/>
    <w:rsid w:val="00284E2E"/>
    <w:rsid w:val="00285F2E"/>
    <w:rsid w:val="002864B7"/>
    <w:rsid w:val="0029277C"/>
    <w:rsid w:val="0029763B"/>
    <w:rsid w:val="00297E63"/>
    <w:rsid w:val="002A5E15"/>
    <w:rsid w:val="002B1581"/>
    <w:rsid w:val="002B1966"/>
    <w:rsid w:val="002B3A7B"/>
    <w:rsid w:val="002C30D4"/>
    <w:rsid w:val="002D0EB0"/>
    <w:rsid w:val="002D1A19"/>
    <w:rsid w:val="002D3F77"/>
    <w:rsid w:val="002D568D"/>
    <w:rsid w:val="002E14FF"/>
    <w:rsid w:val="002F6E64"/>
    <w:rsid w:val="00303FC6"/>
    <w:rsid w:val="00310F18"/>
    <w:rsid w:val="00311D93"/>
    <w:rsid w:val="003133EC"/>
    <w:rsid w:val="0031469E"/>
    <w:rsid w:val="00316A30"/>
    <w:rsid w:val="003259B0"/>
    <w:rsid w:val="00326E4C"/>
    <w:rsid w:val="003305B3"/>
    <w:rsid w:val="00331D21"/>
    <w:rsid w:val="00333007"/>
    <w:rsid w:val="00334459"/>
    <w:rsid w:val="00336EB8"/>
    <w:rsid w:val="003372D8"/>
    <w:rsid w:val="003410FE"/>
    <w:rsid w:val="00342E76"/>
    <w:rsid w:val="0034355E"/>
    <w:rsid w:val="00345A51"/>
    <w:rsid w:val="00350C27"/>
    <w:rsid w:val="003522EC"/>
    <w:rsid w:val="00362676"/>
    <w:rsid w:val="00362C45"/>
    <w:rsid w:val="0036357D"/>
    <w:rsid w:val="00365834"/>
    <w:rsid w:val="00365860"/>
    <w:rsid w:val="003658D6"/>
    <w:rsid w:val="00372DBC"/>
    <w:rsid w:val="00373F13"/>
    <w:rsid w:val="00376596"/>
    <w:rsid w:val="00381436"/>
    <w:rsid w:val="00381FDC"/>
    <w:rsid w:val="00382B26"/>
    <w:rsid w:val="00392DFF"/>
    <w:rsid w:val="00396CF8"/>
    <w:rsid w:val="0039757C"/>
    <w:rsid w:val="00397A87"/>
    <w:rsid w:val="003A08A7"/>
    <w:rsid w:val="003A2EDF"/>
    <w:rsid w:val="003A3F24"/>
    <w:rsid w:val="003A4F2E"/>
    <w:rsid w:val="003A7A39"/>
    <w:rsid w:val="003B155D"/>
    <w:rsid w:val="003B2235"/>
    <w:rsid w:val="003B353F"/>
    <w:rsid w:val="003B6542"/>
    <w:rsid w:val="003C6187"/>
    <w:rsid w:val="003C7F72"/>
    <w:rsid w:val="003D0D27"/>
    <w:rsid w:val="003D1770"/>
    <w:rsid w:val="003D2814"/>
    <w:rsid w:val="003D4D24"/>
    <w:rsid w:val="003D4EF1"/>
    <w:rsid w:val="003D542A"/>
    <w:rsid w:val="003D5E22"/>
    <w:rsid w:val="003F15B5"/>
    <w:rsid w:val="003F1AAC"/>
    <w:rsid w:val="003F1CC1"/>
    <w:rsid w:val="003F55D8"/>
    <w:rsid w:val="003F664F"/>
    <w:rsid w:val="003F7382"/>
    <w:rsid w:val="00406E21"/>
    <w:rsid w:val="00410B0B"/>
    <w:rsid w:val="0041249F"/>
    <w:rsid w:val="00412999"/>
    <w:rsid w:val="00416CA9"/>
    <w:rsid w:val="00417496"/>
    <w:rsid w:val="00422A3E"/>
    <w:rsid w:val="00424DAD"/>
    <w:rsid w:val="0042630F"/>
    <w:rsid w:val="00427057"/>
    <w:rsid w:val="004272CB"/>
    <w:rsid w:val="004318DE"/>
    <w:rsid w:val="004358BD"/>
    <w:rsid w:val="0043697F"/>
    <w:rsid w:val="00436FCB"/>
    <w:rsid w:val="00437620"/>
    <w:rsid w:val="004378D4"/>
    <w:rsid w:val="0044030D"/>
    <w:rsid w:val="004407F5"/>
    <w:rsid w:val="00441F9E"/>
    <w:rsid w:val="004426E6"/>
    <w:rsid w:val="004455BD"/>
    <w:rsid w:val="00446416"/>
    <w:rsid w:val="0045274C"/>
    <w:rsid w:val="00455C5E"/>
    <w:rsid w:val="0045707A"/>
    <w:rsid w:val="00463746"/>
    <w:rsid w:val="00463ED5"/>
    <w:rsid w:val="0046537D"/>
    <w:rsid w:val="0046679C"/>
    <w:rsid w:val="004676A2"/>
    <w:rsid w:val="0047378A"/>
    <w:rsid w:val="0047516E"/>
    <w:rsid w:val="0047625E"/>
    <w:rsid w:val="004775F6"/>
    <w:rsid w:val="00477DDB"/>
    <w:rsid w:val="00482A01"/>
    <w:rsid w:val="0048345C"/>
    <w:rsid w:val="00485E94"/>
    <w:rsid w:val="0049235D"/>
    <w:rsid w:val="00493CAF"/>
    <w:rsid w:val="0049475B"/>
    <w:rsid w:val="004A59B7"/>
    <w:rsid w:val="004A6120"/>
    <w:rsid w:val="004B20D8"/>
    <w:rsid w:val="004B4265"/>
    <w:rsid w:val="004B52A0"/>
    <w:rsid w:val="004B6C02"/>
    <w:rsid w:val="004C1CE0"/>
    <w:rsid w:val="004C24C0"/>
    <w:rsid w:val="004D1A6D"/>
    <w:rsid w:val="004D25D9"/>
    <w:rsid w:val="004D7C8C"/>
    <w:rsid w:val="004E127E"/>
    <w:rsid w:val="004E5677"/>
    <w:rsid w:val="004E5BE1"/>
    <w:rsid w:val="004F4057"/>
    <w:rsid w:val="004F66FB"/>
    <w:rsid w:val="0050187A"/>
    <w:rsid w:val="005027C1"/>
    <w:rsid w:val="00507851"/>
    <w:rsid w:val="005122B3"/>
    <w:rsid w:val="00516179"/>
    <w:rsid w:val="00522157"/>
    <w:rsid w:val="005234C3"/>
    <w:rsid w:val="0052365C"/>
    <w:rsid w:val="00523F18"/>
    <w:rsid w:val="005274E9"/>
    <w:rsid w:val="00530565"/>
    <w:rsid w:val="005311B5"/>
    <w:rsid w:val="00531AC9"/>
    <w:rsid w:val="005326D7"/>
    <w:rsid w:val="00533E97"/>
    <w:rsid w:val="00535ED6"/>
    <w:rsid w:val="00537A98"/>
    <w:rsid w:val="005419EC"/>
    <w:rsid w:val="0055032E"/>
    <w:rsid w:val="00552D8D"/>
    <w:rsid w:val="00553AF3"/>
    <w:rsid w:val="00553F00"/>
    <w:rsid w:val="005554EB"/>
    <w:rsid w:val="005572EB"/>
    <w:rsid w:val="00560E1C"/>
    <w:rsid w:val="005630F2"/>
    <w:rsid w:val="005660D7"/>
    <w:rsid w:val="0057156E"/>
    <w:rsid w:val="00572212"/>
    <w:rsid w:val="00573483"/>
    <w:rsid w:val="005743F9"/>
    <w:rsid w:val="00580DE4"/>
    <w:rsid w:val="005811A7"/>
    <w:rsid w:val="00581853"/>
    <w:rsid w:val="0058337C"/>
    <w:rsid w:val="005847F3"/>
    <w:rsid w:val="0058592C"/>
    <w:rsid w:val="00585A1B"/>
    <w:rsid w:val="00587E32"/>
    <w:rsid w:val="00592418"/>
    <w:rsid w:val="00592B77"/>
    <w:rsid w:val="005A1104"/>
    <w:rsid w:val="005A5DE7"/>
    <w:rsid w:val="005A7952"/>
    <w:rsid w:val="005B1229"/>
    <w:rsid w:val="005B1550"/>
    <w:rsid w:val="005B1C55"/>
    <w:rsid w:val="005B4263"/>
    <w:rsid w:val="005B4626"/>
    <w:rsid w:val="005B4E74"/>
    <w:rsid w:val="005B4EE2"/>
    <w:rsid w:val="005B500A"/>
    <w:rsid w:val="005B5241"/>
    <w:rsid w:val="005B7DC7"/>
    <w:rsid w:val="005C02B1"/>
    <w:rsid w:val="005D1184"/>
    <w:rsid w:val="005D4784"/>
    <w:rsid w:val="005D54AC"/>
    <w:rsid w:val="005E006B"/>
    <w:rsid w:val="005E1E30"/>
    <w:rsid w:val="005E45D8"/>
    <w:rsid w:val="005E5435"/>
    <w:rsid w:val="005F12B5"/>
    <w:rsid w:val="005F2768"/>
    <w:rsid w:val="005F33CC"/>
    <w:rsid w:val="005F7A82"/>
    <w:rsid w:val="0060351E"/>
    <w:rsid w:val="00603996"/>
    <w:rsid w:val="006039DA"/>
    <w:rsid w:val="00604DE0"/>
    <w:rsid w:val="00605E31"/>
    <w:rsid w:val="00610BB0"/>
    <w:rsid w:val="00616BB7"/>
    <w:rsid w:val="0062240D"/>
    <w:rsid w:val="00623087"/>
    <w:rsid w:val="006233BE"/>
    <w:rsid w:val="0062413E"/>
    <w:rsid w:val="00630887"/>
    <w:rsid w:val="00631D12"/>
    <w:rsid w:val="00640600"/>
    <w:rsid w:val="00644DF1"/>
    <w:rsid w:val="00644ED5"/>
    <w:rsid w:val="00646F87"/>
    <w:rsid w:val="006470E9"/>
    <w:rsid w:val="0065157B"/>
    <w:rsid w:val="00655FA6"/>
    <w:rsid w:val="00661982"/>
    <w:rsid w:val="00661AD2"/>
    <w:rsid w:val="00664DCD"/>
    <w:rsid w:val="0066503B"/>
    <w:rsid w:val="00665116"/>
    <w:rsid w:val="00665211"/>
    <w:rsid w:val="00670EAF"/>
    <w:rsid w:val="0067728E"/>
    <w:rsid w:val="006778DB"/>
    <w:rsid w:val="00691DA0"/>
    <w:rsid w:val="0069386B"/>
    <w:rsid w:val="006951E7"/>
    <w:rsid w:val="00695D25"/>
    <w:rsid w:val="00697BF5"/>
    <w:rsid w:val="006A384A"/>
    <w:rsid w:val="006A45EA"/>
    <w:rsid w:val="006A6210"/>
    <w:rsid w:val="006B1292"/>
    <w:rsid w:val="006B15AC"/>
    <w:rsid w:val="006B4FE9"/>
    <w:rsid w:val="006B75AC"/>
    <w:rsid w:val="006C15E3"/>
    <w:rsid w:val="006C24C5"/>
    <w:rsid w:val="006C2A5C"/>
    <w:rsid w:val="006D35EC"/>
    <w:rsid w:val="006D3CC3"/>
    <w:rsid w:val="006E456B"/>
    <w:rsid w:val="006F1202"/>
    <w:rsid w:val="006F1D51"/>
    <w:rsid w:val="006F3971"/>
    <w:rsid w:val="006F476B"/>
    <w:rsid w:val="007034D1"/>
    <w:rsid w:val="0070513F"/>
    <w:rsid w:val="00706697"/>
    <w:rsid w:val="007066A0"/>
    <w:rsid w:val="00707E32"/>
    <w:rsid w:val="00716017"/>
    <w:rsid w:val="00716CAE"/>
    <w:rsid w:val="00726F94"/>
    <w:rsid w:val="007329CB"/>
    <w:rsid w:val="007358D6"/>
    <w:rsid w:val="00737E56"/>
    <w:rsid w:val="00744E28"/>
    <w:rsid w:val="00745F94"/>
    <w:rsid w:val="007474DA"/>
    <w:rsid w:val="007476DD"/>
    <w:rsid w:val="0075487A"/>
    <w:rsid w:val="00754C14"/>
    <w:rsid w:val="00756A07"/>
    <w:rsid w:val="007609DB"/>
    <w:rsid w:val="0076529F"/>
    <w:rsid w:val="0076664D"/>
    <w:rsid w:val="00770373"/>
    <w:rsid w:val="0077478B"/>
    <w:rsid w:val="00775C5B"/>
    <w:rsid w:val="007773DF"/>
    <w:rsid w:val="00782BE8"/>
    <w:rsid w:val="007838CF"/>
    <w:rsid w:val="00783ACC"/>
    <w:rsid w:val="0079042B"/>
    <w:rsid w:val="00791445"/>
    <w:rsid w:val="00791748"/>
    <w:rsid w:val="00791BAB"/>
    <w:rsid w:val="007925F1"/>
    <w:rsid w:val="00793AB2"/>
    <w:rsid w:val="007962A4"/>
    <w:rsid w:val="00797DFA"/>
    <w:rsid w:val="007A32B6"/>
    <w:rsid w:val="007A3639"/>
    <w:rsid w:val="007A3E70"/>
    <w:rsid w:val="007A559D"/>
    <w:rsid w:val="007B1AF3"/>
    <w:rsid w:val="007B1BB0"/>
    <w:rsid w:val="007B2921"/>
    <w:rsid w:val="007B34B6"/>
    <w:rsid w:val="007B3BAD"/>
    <w:rsid w:val="007B448A"/>
    <w:rsid w:val="007B7EDE"/>
    <w:rsid w:val="007C05D9"/>
    <w:rsid w:val="007C19E0"/>
    <w:rsid w:val="007C4129"/>
    <w:rsid w:val="007C4B5C"/>
    <w:rsid w:val="007C50FA"/>
    <w:rsid w:val="007C7D85"/>
    <w:rsid w:val="007D3911"/>
    <w:rsid w:val="007E11F1"/>
    <w:rsid w:val="007E35A2"/>
    <w:rsid w:val="007E64C7"/>
    <w:rsid w:val="007E7B10"/>
    <w:rsid w:val="007F14CD"/>
    <w:rsid w:val="007F1D43"/>
    <w:rsid w:val="007F1D4B"/>
    <w:rsid w:val="007F468D"/>
    <w:rsid w:val="007F51AA"/>
    <w:rsid w:val="007F5C39"/>
    <w:rsid w:val="007F6DF2"/>
    <w:rsid w:val="007F76E3"/>
    <w:rsid w:val="00801974"/>
    <w:rsid w:val="00801B45"/>
    <w:rsid w:val="00802103"/>
    <w:rsid w:val="00803018"/>
    <w:rsid w:val="00805B38"/>
    <w:rsid w:val="0080752E"/>
    <w:rsid w:val="00812177"/>
    <w:rsid w:val="0081355F"/>
    <w:rsid w:val="00824376"/>
    <w:rsid w:val="008266A3"/>
    <w:rsid w:val="00826CBE"/>
    <w:rsid w:val="0082763F"/>
    <w:rsid w:val="0083734A"/>
    <w:rsid w:val="00844AC8"/>
    <w:rsid w:val="00845CEF"/>
    <w:rsid w:val="00847421"/>
    <w:rsid w:val="00854A68"/>
    <w:rsid w:val="00865E55"/>
    <w:rsid w:val="008724A5"/>
    <w:rsid w:val="0087354A"/>
    <w:rsid w:val="008750C8"/>
    <w:rsid w:val="00880558"/>
    <w:rsid w:val="00881368"/>
    <w:rsid w:val="0088292C"/>
    <w:rsid w:val="0088794F"/>
    <w:rsid w:val="0089179B"/>
    <w:rsid w:val="00893215"/>
    <w:rsid w:val="008938E0"/>
    <w:rsid w:val="00896918"/>
    <w:rsid w:val="00897C3F"/>
    <w:rsid w:val="008A59C5"/>
    <w:rsid w:val="008B0EBE"/>
    <w:rsid w:val="008B2905"/>
    <w:rsid w:val="008C051E"/>
    <w:rsid w:val="008C7899"/>
    <w:rsid w:val="008C7BC9"/>
    <w:rsid w:val="008D2D50"/>
    <w:rsid w:val="008D72EC"/>
    <w:rsid w:val="008D75FA"/>
    <w:rsid w:val="008E1E2D"/>
    <w:rsid w:val="008E548E"/>
    <w:rsid w:val="008F2B73"/>
    <w:rsid w:val="008F3558"/>
    <w:rsid w:val="008F527D"/>
    <w:rsid w:val="00905030"/>
    <w:rsid w:val="0090542C"/>
    <w:rsid w:val="00906226"/>
    <w:rsid w:val="00910E10"/>
    <w:rsid w:val="00913A14"/>
    <w:rsid w:val="009214EB"/>
    <w:rsid w:val="009272D7"/>
    <w:rsid w:val="00927D51"/>
    <w:rsid w:val="00931D86"/>
    <w:rsid w:val="00933229"/>
    <w:rsid w:val="009362A1"/>
    <w:rsid w:val="00936E81"/>
    <w:rsid w:val="00945487"/>
    <w:rsid w:val="00946861"/>
    <w:rsid w:val="009557DB"/>
    <w:rsid w:val="00955C22"/>
    <w:rsid w:val="0096003D"/>
    <w:rsid w:val="00960C1F"/>
    <w:rsid w:val="00963A0D"/>
    <w:rsid w:val="00963BA3"/>
    <w:rsid w:val="00964CD3"/>
    <w:rsid w:val="00966DB7"/>
    <w:rsid w:val="009677FC"/>
    <w:rsid w:val="00967B02"/>
    <w:rsid w:val="00970324"/>
    <w:rsid w:val="00971C0E"/>
    <w:rsid w:val="00972179"/>
    <w:rsid w:val="0097469F"/>
    <w:rsid w:val="009746E0"/>
    <w:rsid w:val="0097487E"/>
    <w:rsid w:val="00974995"/>
    <w:rsid w:val="00974E4A"/>
    <w:rsid w:val="00976622"/>
    <w:rsid w:val="00980379"/>
    <w:rsid w:val="00982AF8"/>
    <w:rsid w:val="0098438D"/>
    <w:rsid w:val="00985F70"/>
    <w:rsid w:val="0099127B"/>
    <w:rsid w:val="00995579"/>
    <w:rsid w:val="00997E4A"/>
    <w:rsid w:val="009A0620"/>
    <w:rsid w:val="009A4275"/>
    <w:rsid w:val="009A458A"/>
    <w:rsid w:val="009A4C97"/>
    <w:rsid w:val="009B190F"/>
    <w:rsid w:val="009B4211"/>
    <w:rsid w:val="009B7E6E"/>
    <w:rsid w:val="009C3085"/>
    <w:rsid w:val="009C3B2D"/>
    <w:rsid w:val="009D1554"/>
    <w:rsid w:val="009D1B36"/>
    <w:rsid w:val="009D2849"/>
    <w:rsid w:val="009E19E0"/>
    <w:rsid w:val="009F0295"/>
    <w:rsid w:val="009F2BD1"/>
    <w:rsid w:val="00A0742A"/>
    <w:rsid w:val="00A07DEB"/>
    <w:rsid w:val="00A10C48"/>
    <w:rsid w:val="00A1279F"/>
    <w:rsid w:val="00A16E9E"/>
    <w:rsid w:val="00A225BF"/>
    <w:rsid w:val="00A22612"/>
    <w:rsid w:val="00A2367A"/>
    <w:rsid w:val="00A261E6"/>
    <w:rsid w:val="00A26BC6"/>
    <w:rsid w:val="00A3086F"/>
    <w:rsid w:val="00A330FC"/>
    <w:rsid w:val="00A4094B"/>
    <w:rsid w:val="00A4164F"/>
    <w:rsid w:val="00A418D2"/>
    <w:rsid w:val="00A42196"/>
    <w:rsid w:val="00A4572C"/>
    <w:rsid w:val="00A519A0"/>
    <w:rsid w:val="00A5263D"/>
    <w:rsid w:val="00A54FFC"/>
    <w:rsid w:val="00A602B6"/>
    <w:rsid w:val="00A62D23"/>
    <w:rsid w:val="00A63086"/>
    <w:rsid w:val="00A65E84"/>
    <w:rsid w:val="00A66036"/>
    <w:rsid w:val="00A72C24"/>
    <w:rsid w:val="00A74044"/>
    <w:rsid w:val="00A83328"/>
    <w:rsid w:val="00A837DB"/>
    <w:rsid w:val="00A847C5"/>
    <w:rsid w:val="00A85F11"/>
    <w:rsid w:val="00A86B41"/>
    <w:rsid w:val="00A92E58"/>
    <w:rsid w:val="00A93284"/>
    <w:rsid w:val="00A93300"/>
    <w:rsid w:val="00A93878"/>
    <w:rsid w:val="00AA37DF"/>
    <w:rsid w:val="00AB1A68"/>
    <w:rsid w:val="00AB7F66"/>
    <w:rsid w:val="00AC15DF"/>
    <w:rsid w:val="00AC69A4"/>
    <w:rsid w:val="00AD1E32"/>
    <w:rsid w:val="00AD26CF"/>
    <w:rsid w:val="00AD67AB"/>
    <w:rsid w:val="00AE0CD1"/>
    <w:rsid w:val="00AE4399"/>
    <w:rsid w:val="00AF16E4"/>
    <w:rsid w:val="00AF35C7"/>
    <w:rsid w:val="00B0376A"/>
    <w:rsid w:val="00B03FB6"/>
    <w:rsid w:val="00B04DEE"/>
    <w:rsid w:val="00B134AB"/>
    <w:rsid w:val="00B16063"/>
    <w:rsid w:val="00B1762F"/>
    <w:rsid w:val="00B1775C"/>
    <w:rsid w:val="00B211B4"/>
    <w:rsid w:val="00B21560"/>
    <w:rsid w:val="00B22264"/>
    <w:rsid w:val="00B271C3"/>
    <w:rsid w:val="00B34622"/>
    <w:rsid w:val="00B35EA6"/>
    <w:rsid w:val="00B37EEE"/>
    <w:rsid w:val="00B46F9E"/>
    <w:rsid w:val="00B5159B"/>
    <w:rsid w:val="00B553AE"/>
    <w:rsid w:val="00B55FCA"/>
    <w:rsid w:val="00B67A9A"/>
    <w:rsid w:val="00B70127"/>
    <w:rsid w:val="00B73A99"/>
    <w:rsid w:val="00B750D9"/>
    <w:rsid w:val="00B75EBB"/>
    <w:rsid w:val="00B80541"/>
    <w:rsid w:val="00B832DE"/>
    <w:rsid w:val="00B84267"/>
    <w:rsid w:val="00B843EC"/>
    <w:rsid w:val="00B8758A"/>
    <w:rsid w:val="00B87633"/>
    <w:rsid w:val="00B879DB"/>
    <w:rsid w:val="00B90A35"/>
    <w:rsid w:val="00B91257"/>
    <w:rsid w:val="00B912AE"/>
    <w:rsid w:val="00BA30C8"/>
    <w:rsid w:val="00BA35BC"/>
    <w:rsid w:val="00BA3B4C"/>
    <w:rsid w:val="00BA4A64"/>
    <w:rsid w:val="00BB0781"/>
    <w:rsid w:val="00BB146F"/>
    <w:rsid w:val="00BB390D"/>
    <w:rsid w:val="00BB6B24"/>
    <w:rsid w:val="00BB764C"/>
    <w:rsid w:val="00BC30FA"/>
    <w:rsid w:val="00BE36F5"/>
    <w:rsid w:val="00BE3E34"/>
    <w:rsid w:val="00BE7667"/>
    <w:rsid w:val="00BF0A41"/>
    <w:rsid w:val="00BF134A"/>
    <w:rsid w:val="00BF1B32"/>
    <w:rsid w:val="00BF2197"/>
    <w:rsid w:val="00BF2CCC"/>
    <w:rsid w:val="00BF37B5"/>
    <w:rsid w:val="00BF497E"/>
    <w:rsid w:val="00BF5FCF"/>
    <w:rsid w:val="00BF6C3A"/>
    <w:rsid w:val="00C077AC"/>
    <w:rsid w:val="00C11807"/>
    <w:rsid w:val="00C14352"/>
    <w:rsid w:val="00C26FBB"/>
    <w:rsid w:val="00C33A29"/>
    <w:rsid w:val="00C34AF9"/>
    <w:rsid w:val="00C36E29"/>
    <w:rsid w:val="00C374CB"/>
    <w:rsid w:val="00C503BA"/>
    <w:rsid w:val="00C512D7"/>
    <w:rsid w:val="00C51BAE"/>
    <w:rsid w:val="00C5229F"/>
    <w:rsid w:val="00C52C25"/>
    <w:rsid w:val="00C5303A"/>
    <w:rsid w:val="00C53568"/>
    <w:rsid w:val="00C55754"/>
    <w:rsid w:val="00C603F3"/>
    <w:rsid w:val="00C62914"/>
    <w:rsid w:val="00C62F05"/>
    <w:rsid w:val="00C62FF5"/>
    <w:rsid w:val="00C6365A"/>
    <w:rsid w:val="00C658A2"/>
    <w:rsid w:val="00C66D7A"/>
    <w:rsid w:val="00C70CE0"/>
    <w:rsid w:val="00C717A8"/>
    <w:rsid w:val="00C71D87"/>
    <w:rsid w:val="00C74A91"/>
    <w:rsid w:val="00C80326"/>
    <w:rsid w:val="00C84F9C"/>
    <w:rsid w:val="00C85D74"/>
    <w:rsid w:val="00C86207"/>
    <w:rsid w:val="00C868A7"/>
    <w:rsid w:val="00C86CB3"/>
    <w:rsid w:val="00C86FDC"/>
    <w:rsid w:val="00C9145A"/>
    <w:rsid w:val="00C926B6"/>
    <w:rsid w:val="00C941D1"/>
    <w:rsid w:val="00C94966"/>
    <w:rsid w:val="00C963EB"/>
    <w:rsid w:val="00C9736E"/>
    <w:rsid w:val="00C973CE"/>
    <w:rsid w:val="00CA0747"/>
    <w:rsid w:val="00CA2C0A"/>
    <w:rsid w:val="00CA449C"/>
    <w:rsid w:val="00CA6292"/>
    <w:rsid w:val="00CB1D05"/>
    <w:rsid w:val="00CB2A59"/>
    <w:rsid w:val="00CB3AAA"/>
    <w:rsid w:val="00CB4849"/>
    <w:rsid w:val="00CB4860"/>
    <w:rsid w:val="00CB5475"/>
    <w:rsid w:val="00CC0457"/>
    <w:rsid w:val="00CC0E3B"/>
    <w:rsid w:val="00CC3B3C"/>
    <w:rsid w:val="00CC54B8"/>
    <w:rsid w:val="00CD01F4"/>
    <w:rsid w:val="00CD38BF"/>
    <w:rsid w:val="00CD48F8"/>
    <w:rsid w:val="00CD4AA9"/>
    <w:rsid w:val="00CD4E45"/>
    <w:rsid w:val="00CE00ED"/>
    <w:rsid w:val="00CE193D"/>
    <w:rsid w:val="00CE4366"/>
    <w:rsid w:val="00CE4F1F"/>
    <w:rsid w:val="00CE603E"/>
    <w:rsid w:val="00CE7AB8"/>
    <w:rsid w:val="00CF0080"/>
    <w:rsid w:val="00CF0D2C"/>
    <w:rsid w:val="00CF151D"/>
    <w:rsid w:val="00CF3801"/>
    <w:rsid w:val="00CF3A2C"/>
    <w:rsid w:val="00CF7868"/>
    <w:rsid w:val="00CF7EDE"/>
    <w:rsid w:val="00D027CD"/>
    <w:rsid w:val="00D0428F"/>
    <w:rsid w:val="00D04BCD"/>
    <w:rsid w:val="00D05CE4"/>
    <w:rsid w:val="00D15C5C"/>
    <w:rsid w:val="00D17BAE"/>
    <w:rsid w:val="00D20724"/>
    <w:rsid w:val="00D210A6"/>
    <w:rsid w:val="00D25CA0"/>
    <w:rsid w:val="00D308F5"/>
    <w:rsid w:val="00D312FE"/>
    <w:rsid w:val="00D33AAE"/>
    <w:rsid w:val="00D35283"/>
    <w:rsid w:val="00D50A50"/>
    <w:rsid w:val="00D50EE8"/>
    <w:rsid w:val="00D51355"/>
    <w:rsid w:val="00D53093"/>
    <w:rsid w:val="00D54C99"/>
    <w:rsid w:val="00D5573D"/>
    <w:rsid w:val="00D60D08"/>
    <w:rsid w:val="00D6142A"/>
    <w:rsid w:val="00D61EF1"/>
    <w:rsid w:val="00D6426F"/>
    <w:rsid w:val="00D6632C"/>
    <w:rsid w:val="00D66C62"/>
    <w:rsid w:val="00D670A0"/>
    <w:rsid w:val="00D74184"/>
    <w:rsid w:val="00D7670C"/>
    <w:rsid w:val="00D77801"/>
    <w:rsid w:val="00D80FE8"/>
    <w:rsid w:val="00D87B87"/>
    <w:rsid w:val="00D91D07"/>
    <w:rsid w:val="00D9295F"/>
    <w:rsid w:val="00D940F0"/>
    <w:rsid w:val="00DA5656"/>
    <w:rsid w:val="00DA5D60"/>
    <w:rsid w:val="00DA6ECA"/>
    <w:rsid w:val="00DA7333"/>
    <w:rsid w:val="00DB092F"/>
    <w:rsid w:val="00DB3BE9"/>
    <w:rsid w:val="00DB61B6"/>
    <w:rsid w:val="00DB6F19"/>
    <w:rsid w:val="00DC1B5A"/>
    <w:rsid w:val="00DC26DF"/>
    <w:rsid w:val="00DC5E38"/>
    <w:rsid w:val="00DE293B"/>
    <w:rsid w:val="00DE3643"/>
    <w:rsid w:val="00DE6C59"/>
    <w:rsid w:val="00DF02E1"/>
    <w:rsid w:val="00DF33D2"/>
    <w:rsid w:val="00DF3A5C"/>
    <w:rsid w:val="00DF5B04"/>
    <w:rsid w:val="00E01115"/>
    <w:rsid w:val="00E01524"/>
    <w:rsid w:val="00E0290E"/>
    <w:rsid w:val="00E0519C"/>
    <w:rsid w:val="00E0719F"/>
    <w:rsid w:val="00E1203F"/>
    <w:rsid w:val="00E13F37"/>
    <w:rsid w:val="00E15DD7"/>
    <w:rsid w:val="00E22743"/>
    <w:rsid w:val="00E24500"/>
    <w:rsid w:val="00E25F2D"/>
    <w:rsid w:val="00E27DF3"/>
    <w:rsid w:val="00E32CA3"/>
    <w:rsid w:val="00E33732"/>
    <w:rsid w:val="00E3544F"/>
    <w:rsid w:val="00E369D0"/>
    <w:rsid w:val="00E418F1"/>
    <w:rsid w:val="00E43993"/>
    <w:rsid w:val="00E4559A"/>
    <w:rsid w:val="00E46B4A"/>
    <w:rsid w:val="00E51A9F"/>
    <w:rsid w:val="00E53C90"/>
    <w:rsid w:val="00E562BC"/>
    <w:rsid w:val="00E57F05"/>
    <w:rsid w:val="00E6023A"/>
    <w:rsid w:val="00E6728F"/>
    <w:rsid w:val="00E72ABE"/>
    <w:rsid w:val="00E82580"/>
    <w:rsid w:val="00E82D33"/>
    <w:rsid w:val="00E85161"/>
    <w:rsid w:val="00E90A2D"/>
    <w:rsid w:val="00E91B19"/>
    <w:rsid w:val="00E95038"/>
    <w:rsid w:val="00E965A1"/>
    <w:rsid w:val="00E971EF"/>
    <w:rsid w:val="00EA01AC"/>
    <w:rsid w:val="00EA04F5"/>
    <w:rsid w:val="00EA2812"/>
    <w:rsid w:val="00EA43C4"/>
    <w:rsid w:val="00EA59E2"/>
    <w:rsid w:val="00EA759C"/>
    <w:rsid w:val="00EB15C5"/>
    <w:rsid w:val="00EB32CD"/>
    <w:rsid w:val="00EB35DB"/>
    <w:rsid w:val="00EB3BA7"/>
    <w:rsid w:val="00EB55F5"/>
    <w:rsid w:val="00EB5E29"/>
    <w:rsid w:val="00EC467C"/>
    <w:rsid w:val="00EC652E"/>
    <w:rsid w:val="00EC6A01"/>
    <w:rsid w:val="00ED0230"/>
    <w:rsid w:val="00ED0C1A"/>
    <w:rsid w:val="00ED21A5"/>
    <w:rsid w:val="00ED4134"/>
    <w:rsid w:val="00EE6B6D"/>
    <w:rsid w:val="00EF4A79"/>
    <w:rsid w:val="00F02241"/>
    <w:rsid w:val="00F02543"/>
    <w:rsid w:val="00F0478E"/>
    <w:rsid w:val="00F0680D"/>
    <w:rsid w:val="00F11298"/>
    <w:rsid w:val="00F11EBD"/>
    <w:rsid w:val="00F12D5F"/>
    <w:rsid w:val="00F15017"/>
    <w:rsid w:val="00F17973"/>
    <w:rsid w:val="00F21BD9"/>
    <w:rsid w:val="00F30951"/>
    <w:rsid w:val="00F30F74"/>
    <w:rsid w:val="00F32DE8"/>
    <w:rsid w:val="00F367BA"/>
    <w:rsid w:val="00F375D5"/>
    <w:rsid w:val="00F42C05"/>
    <w:rsid w:val="00F431BF"/>
    <w:rsid w:val="00F44B55"/>
    <w:rsid w:val="00F52A35"/>
    <w:rsid w:val="00F54C8D"/>
    <w:rsid w:val="00F56916"/>
    <w:rsid w:val="00F60A2A"/>
    <w:rsid w:val="00F623DA"/>
    <w:rsid w:val="00F66C35"/>
    <w:rsid w:val="00F7036E"/>
    <w:rsid w:val="00F70A94"/>
    <w:rsid w:val="00F736C9"/>
    <w:rsid w:val="00F763A9"/>
    <w:rsid w:val="00F832FF"/>
    <w:rsid w:val="00F84925"/>
    <w:rsid w:val="00F851A8"/>
    <w:rsid w:val="00F87FAC"/>
    <w:rsid w:val="00F97343"/>
    <w:rsid w:val="00FA5477"/>
    <w:rsid w:val="00FA6F50"/>
    <w:rsid w:val="00FB0692"/>
    <w:rsid w:val="00FB0CDB"/>
    <w:rsid w:val="00FB10F6"/>
    <w:rsid w:val="00FB6055"/>
    <w:rsid w:val="00FC274F"/>
    <w:rsid w:val="00FC2FFF"/>
    <w:rsid w:val="00FC38E9"/>
    <w:rsid w:val="00FC43BB"/>
    <w:rsid w:val="00FC49E1"/>
    <w:rsid w:val="00FD0FA9"/>
    <w:rsid w:val="00FD1BA2"/>
    <w:rsid w:val="00FD1CA6"/>
    <w:rsid w:val="00FD40AD"/>
    <w:rsid w:val="00FD72BC"/>
    <w:rsid w:val="00FE0E92"/>
    <w:rsid w:val="00FE3C18"/>
    <w:rsid w:val="00FE5078"/>
    <w:rsid w:val="00FF0140"/>
    <w:rsid w:val="00FF0A6D"/>
    <w:rsid w:val="00FF12DB"/>
    <w:rsid w:val="00FF149F"/>
    <w:rsid w:val="00FF1C29"/>
    <w:rsid w:val="00FF2BA1"/>
    <w:rsid w:val="00FF5E10"/>
    <w:rsid w:val="01556C11"/>
    <w:rsid w:val="04B91A92"/>
    <w:rsid w:val="050822E4"/>
    <w:rsid w:val="06B66E61"/>
    <w:rsid w:val="08E54678"/>
    <w:rsid w:val="09145663"/>
    <w:rsid w:val="0A9F575A"/>
    <w:rsid w:val="0ABF5174"/>
    <w:rsid w:val="0BF50565"/>
    <w:rsid w:val="0D552244"/>
    <w:rsid w:val="10366EA9"/>
    <w:rsid w:val="10EA1300"/>
    <w:rsid w:val="14666445"/>
    <w:rsid w:val="14D5381E"/>
    <w:rsid w:val="16304B52"/>
    <w:rsid w:val="16C678ED"/>
    <w:rsid w:val="174F760F"/>
    <w:rsid w:val="191F2A45"/>
    <w:rsid w:val="1A8232BB"/>
    <w:rsid w:val="1B4A43D8"/>
    <w:rsid w:val="1C78090C"/>
    <w:rsid w:val="1D8F7A29"/>
    <w:rsid w:val="1DFA2A35"/>
    <w:rsid w:val="1E76328D"/>
    <w:rsid w:val="1F70586F"/>
    <w:rsid w:val="20A71D9E"/>
    <w:rsid w:val="2139203A"/>
    <w:rsid w:val="22FF19DD"/>
    <w:rsid w:val="284877C3"/>
    <w:rsid w:val="28970834"/>
    <w:rsid w:val="28B21951"/>
    <w:rsid w:val="2B11557E"/>
    <w:rsid w:val="2B140DE0"/>
    <w:rsid w:val="2CFE4742"/>
    <w:rsid w:val="2D770BDA"/>
    <w:rsid w:val="2E7F4C26"/>
    <w:rsid w:val="2F346F98"/>
    <w:rsid w:val="2F9C7D68"/>
    <w:rsid w:val="306F30AD"/>
    <w:rsid w:val="30BC1803"/>
    <w:rsid w:val="31F72417"/>
    <w:rsid w:val="323A2F43"/>
    <w:rsid w:val="325818B8"/>
    <w:rsid w:val="3290334F"/>
    <w:rsid w:val="34B96D40"/>
    <w:rsid w:val="34C67D99"/>
    <w:rsid w:val="361E4910"/>
    <w:rsid w:val="36A22655"/>
    <w:rsid w:val="37813006"/>
    <w:rsid w:val="38976E3F"/>
    <w:rsid w:val="3C14762B"/>
    <w:rsid w:val="3E0324E7"/>
    <w:rsid w:val="3E820242"/>
    <w:rsid w:val="3E884054"/>
    <w:rsid w:val="411B3063"/>
    <w:rsid w:val="428C719B"/>
    <w:rsid w:val="437C3786"/>
    <w:rsid w:val="43F73C52"/>
    <w:rsid w:val="449A7DFC"/>
    <w:rsid w:val="44A807BE"/>
    <w:rsid w:val="459C2777"/>
    <w:rsid w:val="45B93647"/>
    <w:rsid w:val="49D3737F"/>
    <w:rsid w:val="4B1A6F87"/>
    <w:rsid w:val="4B337FFF"/>
    <w:rsid w:val="4CF7171A"/>
    <w:rsid w:val="4D2001B7"/>
    <w:rsid w:val="4D793343"/>
    <w:rsid w:val="4DD32F1E"/>
    <w:rsid w:val="4E0C3F18"/>
    <w:rsid w:val="51E75669"/>
    <w:rsid w:val="52EB6E24"/>
    <w:rsid w:val="53D44232"/>
    <w:rsid w:val="54F12E40"/>
    <w:rsid w:val="555812F1"/>
    <w:rsid w:val="561141AC"/>
    <w:rsid w:val="56BE6BB7"/>
    <w:rsid w:val="56D00F2B"/>
    <w:rsid w:val="571741AE"/>
    <w:rsid w:val="58B4254A"/>
    <w:rsid w:val="592A6379"/>
    <w:rsid w:val="5A74178C"/>
    <w:rsid w:val="5ACD132B"/>
    <w:rsid w:val="5C37252E"/>
    <w:rsid w:val="5C5725E1"/>
    <w:rsid w:val="5D922EE5"/>
    <w:rsid w:val="5E363CD7"/>
    <w:rsid w:val="67575DA4"/>
    <w:rsid w:val="693B4744"/>
    <w:rsid w:val="6A5A707F"/>
    <w:rsid w:val="6B382A2C"/>
    <w:rsid w:val="6B7C478F"/>
    <w:rsid w:val="6E7C651E"/>
    <w:rsid w:val="700E7B08"/>
    <w:rsid w:val="703E706F"/>
    <w:rsid w:val="719E6721"/>
    <w:rsid w:val="742D1BF8"/>
    <w:rsid w:val="75953472"/>
    <w:rsid w:val="767A141A"/>
    <w:rsid w:val="77FA75B7"/>
    <w:rsid w:val="79E6542F"/>
    <w:rsid w:val="7B80189B"/>
    <w:rsid w:val="7D3D5B7C"/>
    <w:rsid w:val="7DEF5AA9"/>
    <w:rsid w:val="7E7A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semiHidden/>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qFormat/>
    <w:uiPriority w:val="0"/>
    <w:rPr>
      <w:color w:val="0000FF"/>
      <w:u w:val="single"/>
    </w:rPr>
  </w:style>
  <w:style w:type="paragraph" w:customStyle="1" w:styleId="8">
    <w:name w:val="Char Char Char Char Char Char Char Char Char Char Char Char Char Char Char Char"/>
    <w:basedOn w:val="1"/>
    <w:autoRedefine/>
    <w:qFormat/>
    <w:uiPriority w:val="0"/>
    <w:pPr>
      <w:tabs>
        <w:tab w:val="left" w:pos="360"/>
      </w:tabs>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3189</Words>
  <Characters>3466</Characters>
  <Lines>8</Lines>
  <Paragraphs>2</Paragraphs>
  <TotalTime>0</TotalTime>
  <ScaleCrop>false</ScaleCrop>
  <LinksUpToDate>false</LinksUpToDate>
  <CharactersWithSpaces>3579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高波</dc:creator>
  <cp:lastModifiedBy>lwl</cp:lastModifiedBy>
  <cp:lastPrinted>2024-02-22T07:57:00Z</cp:lastPrinted>
  <dcterms:modified xsi:type="dcterms:W3CDTF">2024-02-23T07:50:21Z</dcterms:modified>
  <dc:title>贵港市2013年第四十四期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D129954997264E8C95DD4BCB95DE0E23</vt:lpwstr>
  </property>
</Properties>
</file>