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A9C6EE">
      <w:pPr>
        <w:widowControl/>
        <w:spacing w:after="200" w:line="560" w:lineRule="exact"/>
        <w:jc w:val="center"/>
        <w:rPr>
          <w:rFonts w:hint="eastAsia" w:ascii="黑体" w:hAnsi="黑体" w:eastAsia="黑体"/>
          <w:b/>
          <w:kern w:val="0"/>
          <w:sz w:val="36"/>
          <w:szCs w:val="36"/>
        </w:rPr>
      </w:pPr>
      <w:r>
        <w:rPr>
          <w:rFonts w:hint="eastAsia" w:ascii="黑体" w:hAnsi="黑体" w:eastAsia="黑体"/>
          <w:b/>
          <w:kern w:val="0"/>
          <w:sz w:val="36"/>
          <w:szCs w:val="36"/>
        </w:rPr>
        <w:t>《450803-Y01-01、02单元控制性详细规划》</w:t>
      </w:r>
    </w:p>
    <w:p w14:paraId="1C8D3731">
      <w:pPr>
        <w:widowControl/>
        <w:spacing w:after="200" w:line="560" w:lineRule="exact"/>
        <w:jc w:val="center"/>
        <w:rPr>
          <w:rFonts w:hint="eastAsia" w:ascii="黑体" w:hAnsi="黑体" w:eastAsia="黑体"/>
          <w:b/>
          <w:kern w:val="0"/>
          <w:sz w:val="36"/>
          <w:szCs w:val="36"/>
        </w:rPr>
      </w:pPr>
      <w:r>
        <w:rPr>
          <w:rFonts w:hint="eastAsia" w:ascii="黑体" w:hAnsi="黑体" w:eastAsia="黑体"/>
          <w:b/>
          <w:kern w:val="0"/>
          <w:sz w:val="36"/>
          <w:szCs w:val="36"/>
        </w:rPr>
        <w:t>（《贵港市苏湾片区(一期)控制性详细规划》）</w:t>
      </w:r>
    </w:p>
    <w:p w14:paraId="42A3CE38">
      <w:pPr>
        <w:widowControl/>
        <w:spacing w:after="200" w:line="560" w:lineRule="exact"/>
        <w:jc w:val="center"/>
        <w:rPr>
          <w:rFonts w:hint="eastAsia" w:ascii="黑体" w:hAnsi="黑体" w:eastAsia="黑体"/>
          <w:b/>
          <w:kern w:val="0"/>
          <w:sz w:val="32"/>
        </w:rPr>
      </w:pPr>
      <w:r>
        <w:rPr>
          <w:rFonts w:ascii="黑体" w:hAnsi="黑体" w:eastAsia="黑体"/>
          <w:b/>
          <w:kern w:val="0"/>
          <w:sz w:val="32"/>
        </w:rPr>
        <w:t>（征求意见稿）公示</w:t>
      </w:r>
    </w:p>
    <w:p w14:paraId="7CF3A165">
      <w:pPr>
        <w:widowControl/>
        <w:spacing w:after="200" w:line="560" w:lineRule="exact"/>
        <w:rPr>
          <w:rFonts w:hint="eastAsia" w:ascii="黑体" w:hAnsi="黑体" w:eastAsia="黑体"/>
          <w:b/>
          <w:kern w:val="0"/>
          <w:sz w:val="32"/>
        </w:rPr>
      </w:pPr>
      <w:r>
        <w:rPr>
          <w:rFonts w:hint="eastAsia" w:ascii="黑体" w:hAnsi="黑体" w:eastAsia="黑体"/>
          <w:b/>
          <w:kern w:val="0"/>
          <w:sz w:val="32"/>
        </w:rPr>
        <w:t>一、规划范围</w:t>
      </w:r>
    </w:p>
    <w:p w14:paraId="2983A4EA">
      <w:pPr>
        <w:spacing w:after="0" w:line="600" w:lineRule="exact"/>
        <w:ind w:firstLine="640" w:firstLineChars="200"/>
        <w:jc w:val="both"/>
        <w:rPr>
          <w:rFonts w:ascii="仿宋_GB2312" w:hAnsi="Times New Roman" w:eastAsia="仿宋_GB2312" w:cs="Times New Roman"/>
          <w:sz w:val="32"/>
          <w:szCs w:val="32"/>
          <w14:ligatures w14:val="none"/>
        </w:rPr>
      </w:pP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450803-Y01-01、02单元位于贵港市中心城区东南、郁江南岸，江南产业园区江南片区北部。</w:t>
      </w:r>
    </w:p>
    <w:p w14:paraId="3A5A7D59">
      <w:pPr>
        <w:spacing w:after="0" w:line="600" w:lineRule="exact"/>
        <w:ind w:firstLine="640" w:firstLineChars="200"/>
        <w:jc w:val="both"/>
        <w:rPr>
          <w:rFonts w:ascii="仿宋_GB2312" w:hAnsi="Times New Roman" w:eastAsia="仿宋_GB2312" w:cs="Times New Roman"/>
          <w:sz w:val="32"/>
          <w:szCs w:val="32"/>
          <w14:ligatures w14:val="none"/>
        </w:rPr>
      </w:pP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本次规划范围北至郁江、南至纬一路和江南大道、西至安澜路、东至江一路和北区二路；总规划面积约为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3.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44平方公里。规划法定管控范围为规划范围内纳入城镇开发边界部分，总面积为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3.03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平方公里。</w:t>
      </w:r>
    </w:p>
    <w:tbl>
      <w:tblPr>
        <w:tblStyle w:val="1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23EFF9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8306" w:type="dxa"/>
          </w:tcPr>
          <w:p w14:paraId="39EF1471">
            <w:pPr>
              <w:spacing w:after="0" w:line="240" w:lineRule="auto"/>
              <w:jc w:val="center"/>
              <w:rPr>
                <w:rFonts w:hint="eastAsia" w:ascii="仿宋_GB2312" w:eastAsia="仿宋_GB2312" w:hAnsiTheme="minorEastAsia"/>
                <w:kern w:val="0"/>
                <w:sz w:val="32"/>
                <w:szCs w:val="32"/>
                <w14:ligatures w14:val="none"/>
              </w:rPr>
            </w:pPr>
            <w:r>
              <w:rPr>
                <w:rFonts w:ascii="仿宋_GB2312" w:eastAsia="仿宋_GB2312" w:hAnsiTheme="minorEastAsia"/>
                <w:kern w:val="0"/>
                <w:sz w:val="32"/>
                <w:szCs w:val="32"/>
                <w14:ligatures w14:val="none"/>
              </w:rPr>
              <w:drawing>
                <wp:inline distT="0" distB="0" distL="0" distR="0">
                  <wp:extent cx="5273040" cy="2438400"/>
                  <wp:effectExtent l="0" t="0" r="381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5968" cy="2439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CB85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8306" w:type="dxa"/>
          </w:tcPr>
          <w:p w14:paraId="484E597A">
            <w:pPr>
              <w:pStyle w:val="31"/>
              <w:widowControl/>
              <w:numPr>
                <w:ilvl w:val="0"/>
                <w:numId w:val="1"/>
              </w:numPr>
              <w:adjustRightInd w:val="0"/>
              <w:snapToGrid w:val="0"/>
              <w:spacing w:after="200" w:line="360" w:lineRule="auto"/>
              <w:contextualSpacing w:val="0"/>
              <w:jc w:val="center"/>
              <w:rPr>
                <w:rFonts w:hint="eastAsia" w:ascii="宋体" w:hAnsi="宋体" w:eastAsia="宋体"/>
                <w:kern w:val="0"/>
                <w:sz w:val="20"/>
                <w:szCs w:val="20"/>
                <w14:ligatures w14:val="none"/>
              </w:rPr>
            </w:pPr>
            <w:r>
              <w:rPr>
                <w:rFonts w:hint="eastAsia" w:ascii="宋体" w:hAnsi="宋体" w:eastAsia="宋体"/>
                <w:kern w:val="0"/>
                <w:sz w:val="20"/>
                <w:szCs w:val="20"/>
                <w14:ligatures w14:val="none"/>
              </w:rPr>
              <w:t>区位示意图</w:t>
            </w:r>
          </w:p>
        </w:tc>
      </w:tr>
    </w:tbl>
    <w:p w14:paraId="60C809BE">
      <w:pPr>
        <w:widowControl/>
        <w:spacing w:after="200" w:line="560" w:lineRule="exact"/>
        <w:rPr>
          <w:rFonts w:hint="eastAsia" w:ascii="黑体" w:hAnsi="黑体" w:eastAsia="黑体"/>
          <w:b/>
          <w:kern w:val="0"/>
          <w:sz w:val="32"/>
        </w:rPr>
      </w:pPr>
      <w:r>
        <w:rPr>
          <w:rFonts w:hint="eastAsia" w:ascii="黑体" w:hAnsi="黑体" w:eastAsia="黑体"/>
          <w:b/>
          <w:kern w:val="0"/>
          <w:sz w:val="32"/>
        </w:rPr>
        <w:t>二、规划内容</w:t>
      </w:r>
    </w:p>
    <w:p w14:paraId="752ABA70">
      <w:pPr>
        <w:spacing w:after="0" w:line="600" w:lineRule="exact"/>
        <w:jc w:val="both"/>
        <w:rPr>
          <w:rFonts w:ascii="仿宋_GB2312" w:hAnsi="Times New Roman" w:eastAsia="仿宋_GB2312" w:cs="Times New Roman"/>
          <w:b/>
          <w:bCs/>
          <w:sz w:val="32"/>
          <w:szCs w:val="32"/>
          <w14:ligatures w14:val="none"/>
        </w:rPr>
      </w:pPr>
      <w:r>
        <w:rPr>
          <w:rFonts w:hint="eastAsia" w:ascii="仿宋_GB2312" w:hAnsi="Times New Roman" w:eastAsia="仿宋_GB2312" w:cs="Times New Roman"/>
          <w:b/>
          <w:bCs/>
          <w:sz w:val="32"/>
          <w:szCs w:val="32"/>
          <w14:ligatures w14:val="none"/>
        </w:rPr>
        <w:t>1、规划定位</w:t>
      </w:r>
    </w:p>
    <w:p w14:paraId="20223C04">
      <w:pPr>
        <w:spacing w:after="0" w:line="600" w:lineRule="exact"/>
        <w:ind w:firstLine="640" w:firstLineChars="200"/>
        <w:jc w:val="both"/>
        <w:rPr>
          <w:rFonts w:ascii="仿宋_GB2312" w:hAnsi="Times New Roman" w:eastAsia="仿宋_GB2312" w:cs="Times New Roman"/>
          <w:sz w:val="32"/>
          <w:szCs w:val="32"/>
          <w14:ligatures w14:val="none"/>
        </w:rPr>
      </w:pP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顺应多层次发展战略和机遇，落实广西高质量发展和贵港市建设“中国南方板材之都”发展要求，支撑江南工业园区“绿色智造、郁江明珠”的发展定位；发挥区位优势，整合现状资源，450803-Y01-01、02单元（苏湾片区一期）规划定位为：</w:t>
      </w:r>
      <w:r>
        <w:rPr>
          <w:rFonts w:hint="eastAsia" w:ascii="仿宋_GB2312" w:hAnsi="Times New Roman" w:eastAsia="仿宋_GB2312" w:cs="Times New Roman"/>
          <w:b/>
          <w:bCs/>
          <w:sz w:val="32"/>
          <w:szCs w:val="32"/>
          <w14:ligatures w14:val="none"/>
        </w:rPr>
        <w:t>“中国-东盟绿色家居供应链核心枢纽·贵港港产城融合发展典范”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。</w:t>
      </w:r>
      <w:bookmarkStart w:id="0" w:name="_GoBack"/>
      <w:bookmarkEnd w:id="0"/>
    </w:p>
    <w:p w14:paraId="7FEC81C9">
      <w:pPr>
        <w:spacing w:after="0" w:line="600" w:lineRule="exact"/>
        <w:jc w:val="both"/>
        <w:rPr>
          <w:rFonts w:ascii="仿宋_GB2312" w:hAnsi="Times New Roman" w:eastAsia="仿宋_GB2312" w:cs="Times New Roman"/>
          <w:b/>
          <w:bCs/>
          <w:sz w:val="32"/>
          <w:szCs w:val="32"/>
          <w14:ligatures w14:val="none"/>
        </w:rPr>
      </w:pPr>
      <w:r>
        <w:rPr>
          <w:rFonts w:hint="eastAsia" w:ascii="仿宋_GB2312" w:hAnsi="Times New Roman" w:eastAsia="仿宋_GB2312" w:cs="Times New Roman"/>
          <w:b/>
          <w:bCs/>
          <w:sz w:val="32"/>
          <w:szCs w:val="32"/>
          <w14:ligatures w14:val="none"/>
        </w:rPr>
        <w:t>2、用地布局</w:t>
      </w:r>
    </w:p>
    <w:p w14:paraId="5756E5A6">
      <w:pPr>
        <w:ind w:firstLine="560"/>
        <w:jc w:val="both"/>
        <w:rPr>
          <w:rFonts w:ascii="仿宋_GB2312" w:hAnsi="Times New Roman" w:eastAsia="仿宋_GB2312" w:cs="Times New Roman"/>
          <w:sz w:val="32"/>
          <w:szCs w:val="32"/>
          <w14:ligatures w14:val="none"/>
        </w:rPr>
      </w:pP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450803-Y01-01、02单元总用地面积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344.38公顷，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落实城镇开发边界面积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302.87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公顷。规划范围内耕地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1.51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公顷、园地0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.06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公顷、林地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8.2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9公顷、草地6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.12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公顷、湿地0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.37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公顷、农业设施建设用地0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.54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公顷、城镇建设用地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296.6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6公顷、区域基础设施用地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9.6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1公顷、陆地水域21.22公顷。</w:t>
      </w:r>
    </w:p>
    <w:p w14:paraId="3BB4F0EA">
      <w:pPr>
        <w:ind w:firstLine="560"/>
        <w:jc w:val="both"/>
        <w:rPr>
          <w:rFonts w:ascii="仿宋_GB2312" w:hAnsi="Times New Roman" w:eastAsia="仿宋_GB2312" w:cs="Times New Roman"/>
          <w:sz w:val="32"/>
          <w:szCs w:val="32"/>
          <w14:ligatures w14:val="none"/>
        </w:rPr>
      </w:pP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城镇建设用地中居住用地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34.67公顷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，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占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城镇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建设用地的11.69%；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商住混合用地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10.62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公顷，占城镇建设用地的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3.58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%；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公共管理与公共服务设施用地29.06公顷，占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城镇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建设用地的9.79%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；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商业服务业设施用地8.08公顷，占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城镇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建设用地的2.72%；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二类工业用地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77.56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公顷，占城镇建设用地的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26.15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%；新型产业用地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9.04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公顷，占城镇建设用地的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3.05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%；工业仓储混合用地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40.03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公顷，占城镇建设用地的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13.49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%；交通运输用地6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7.71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公顷，占城镇建设用地的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22.83%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；公用设施用地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1.66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公顷，占城镇建设用地的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0.56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%；绿地与开敞空间用地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17.88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公顷，占城镇建设用地的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6.03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%；特殊用地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0.15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公顷，占城镇建设用地的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0.05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%。</w:t>
      </w:r>
    </w:p>
    <w:tbl>
      <w:tblPr>
        <w:tblStyle w:val="1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 w14:paraId="1D4457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</w:tcPr>
          <w:p w14:paraId="278B1228">
            <w:pPr>
              <w:spacing w:after="0" w:line="240" w:lineRule="auto"/>
              <w:jc w:val="center"/>
              <w:rPr>
                <w:rFonts w:hint="eastAsia" w:ascii="仿宋_GB2312" w:eastAsia="仿宋_GB2312" w:hAnsiTheme="minorEastAsia"/>
                <w:kern w:val="0"/>
                <w:sz w:val="32"/>
                <w:szCs w:val="32"/>
                <w14:ligatures w14:val="none"/>
              </w:rPr>
            </w:pPr>
            <w:r>
              <w:rPr>
                <w:rFonts w:ascii="仿宋_GB2312" w:eastAsia="仿宋_GB2312" w:hAnsiTheme="minorEastAsia"/>
                <w:kern w:val="0"/>
                <w:sz w:val="32"/>
                <w:szCs w:val="32"/>
                <w14:ligatures w14:val="none"/>
              </w:rPr>
              <w:drawing>
                <wp:inline distT="0" distB="0" distL="0" distR="0">
                  <wp:extent cx="4982210" cy="4328160"/>
                  <wp:effectExtent l="0" t="0" r="889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" r="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2283" cy="4328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24F2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</w:tcPr>
          <w:p w14:paraId="61DDDAEF">
            <w:pPr>
              <w:pStyle w:val="31"/>
              <w:widowControl/>
              <w:numPr>
                <w:ilvl w:val="0"/>
                <w:numId w:val="1"/>
              </w:numPr>
              <w:adjustRightInd w:val="0"/>
              <w:snapToGrid w:val="0"/>
              <w:spacing w:after="200" w:line="360" w:lineRule="auto"/>
              <w:contextualSpacing w:val="0"/>
              <w:jc w:val="center"/>
              <w:rPr>
                <w:rFonts w:hint="eastAsia"/>
                <w:kern w:val="0"/>
                <w:sz w:val="20"/>
                <w:szCs w:val="20"/>
                <w14:ligatures w14:val="none"/>
              </w:rPr>
            </w:pPr>
            <w:r>
              <w:rPr>
                <w:rFonts w:hint="eastAsia" w:ascii="微软雅黑" w:hAnsi="微软雅黑"/>
                <w:kern w:val="0"/>
                <w:sz w:val="20"/>
                <w:szCs w:val="20"/>
                <w14:ligatures w14:val="none"/>
              </w:rPr>
              <w:t>土地使用规划图</w:t>
            </w:r>
          </w:p>
        </w:tc>
      </w:tr>
    </w:tbl>
    <w:p w14:paraId="7F70F20D">
      <w:pPr>
        <w:spacing w:after="0" w:line="600" w:lineRule="exact"/>
        <w:jc w:val="both"/>
        <w:rPr>
          <w:rFonts w:ascii="仿宋_GB2312" w:hAnsi="Times New Roman" w:eastAsia="仿宋_GB2312" w:cs="Times New Roman"/>
          <w:b/>
          <w:bCs/>
          <w:sz w:val="32"/>
          <w:szCs w:val="32"/>
          <w14:ligatures w14:val="none"/>
        </w:rPr>
      </w:pPr>
      <w:r>
        <w:rPr>
          <w:rFonts w:hint="eastAsia" w:ascii="仿宋_GB2312" w:hAnsi="Times New Roman" w:eastAsia="仿宋_GB2312" w:cs="Times New Roman"/>
          <w:b/>
          <w:bCs/>
          <w:sz w:val="32"/>
          <w:szCs w:val="32"/>
          <w14:ligatures w14:val="none"/>
        </w:rPr>
        <w:t>3、公共服务设施规划</w:t>
      </w:r>
    </w:p>
    <w:p w14:paraId="2B02DAC1">
      <w:pPr>
        <w:ind w:firstLine="560"/>
        <w:rPr>
          <w:rFonts w:ascii="仿宋_GB2312" w:hAnsi="Times New Roman" w:eastAsia="仿宋_GB2312" w:cs="Times New Roman"/>
          <w:sz w:val="32"/>
          <w:szCs w:val="32"/>
          <w14:ligatures w14:val="none"/>
        </w:rPr>
      </w:pP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落实上位规划要求，规划健全完善各类公共服务设施体系。</w:t>
      </w:r>
    </w:p>
    <w:p w14:paraId="3989D522">
      <w:pPr>
        <w:ind w:firstLine="560"/>
        <w:rPr>
          <w:rFonts w:ascii="仿宋_GB2312" w:hAnsi="Times New Roman" w:eastAsia="仿宋_GB2312" w:cs="Times New Roman"/>
          <w:sz w:val="32"/>
          <w:szCs w:val="32"/>
          <w14:ligatures w14:val="none"/>
        </w:rPr>
      </w:pP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保留2处高中，分别为华南高级中学、港南中学；保留并扩建1所初中，为港南区第一初级中学，新建1所初中；保留1所小学，为珊顿小学。</w:t>
      </w:r>
    </w:p>
    <w:p w14:paraId="41BBF042">
      <w:pPr>
        <w:ind w:firstLine="560"/>
        <w:rPr>
          <w:rFonts w:ascii="仿宋_GB2312" w:hAnsi="Times New Roman" w:eastAsia="仿宋_GB2312" w:cs="Times New Roman"/>
          <w:sz w:val="32"/>
          <w:szCs w:val="32"/>
          <w14:ligatures w14:val="none"/>
        </w:rPr>
      </w:pP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结合公园绿地布局体育公园1处。</w:t>
      </w:r>
    </w:p>
    <w:p w14:paraId="752EECCC">
      <w:pPr>
        <w:ind w:firstLine="560"/>
        <w:rPr>
          <w:rFonts w:ascii="仿宋_GB2312" w:hAnsi="Times New Roman" w:eastAsia="仿宋_GB2312" w:cs="Times New Roman"/>
          <w:sz w:val="32"/>
          <w:szCs w:val="32"/>
          <w14:ligatures w14:val="none"/>
        </w:rPr>
      </w:pP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规划集中商业服务业设施3处，布局商业综合体和商贸市场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。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规划加油（气、氢）站1处。</w:t>
      </w:r>
    </w:p>
    <w:p w14:paraId="243F3955">
      <w:pPr>
        <w:ind w:firstLine="560"/>
        <w:rPr>
          <w:rFonts w:ascii="仿宋_GB2312" w:hAnsi="Times New Roman" w:eastAsia="仿宋_GB2312" w:cs="Times New Roman"/>
          <w:sz w:val="32"/>
          <w:szCs w:val="32"/>
          <w14:ligatures w14:val="none"/>
        </w:rPr>
      </w:pP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规划范围内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构建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2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个十分钟生活圈，同时结合五分钟生活圈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配建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社区服务设施，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包括幼儿园、文化活动站、室外健身场地、社区服务站、社区卫生服务站等；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以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居民需求为核心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，营造高品质生活空间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。</w:t>
      </w:r>
    </w:p>
    <w:tbl>
      <w:tblPr>
        <w:tblStyle w:val="1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 w14:paraId="690928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</w:tcPr>
          <w:p w14:paraId="28874906">
            <w:pPr>
              <w:spacing w:after="0" w:line="240" w:lineRule="auto"/>
              <w:jc w:val="center"/>
              <w:rPr>
                <w:rFonts w:hint="eastAsia" w:ascii="仿宋_GB2312" w:eastAsia="仿宋_GB2312" w:hAnsiTheme="minorEastAsia"/>
                <w:kern w:val="0"/>
                <w:sz w:val="32"/>
                <w:szCs w:val="32"/>
                <w14:ligatures w14:val="none"/>
              </w:rPr>
            </w:pPr>
            <w:r>
              <w:rPr>
                <w:kern w:val="0"/>
                <w:sz w:val="20"/>
                <w:szCs w:val="20"/>
                <w14:ligatures w14:val="none"/>
              </w:rPr>
              <w:drawing>
                <wp:inline distT="0" distB="0" distL="0" distR="0">
                  <wp:extent cx="4996180" cy="4308475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" r="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6279" cy="4308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E62E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</w:tcPr>
          <w:p w14:paraId="1F56F448">
            <w:pPr>
              <w:pStyle w:val="31"/>
              <w:widowControl/>
              <w:numPr>
                <w:ilvl w:val="0"/>
                <w:numId w:val="1"/>
              </w:numPr>
              <w:adjustRightInd w:val="0"/>
              <w:snapToGrid w:val="0"/>
              <w:spacing w:after="200" w:line="360" w:lineRule="auto"/>
              <w:contextualSpacing w:val="0"/>
              <w:jc w:val="center"/>
              <w:rPr>
                <w:rFonts w:hint="eastAsia"/>
                <w:kern w:val="0"/>
                <w:sz w:val="20"/>
                <w:szCs w:val="20"/>
                <w14:ligatures w14:val="none"/>
              </w:rPr>
            </w:pPr>
            <w:r>
              <w:rPr>
                <w:rFonts w:hint="eastAsia" w:ascii="微软雅黑" w:hAnsi="微软雅黑"/>
                <w:kern w:val="0"/>
                <w:sz w:val="20"/>
                <w:szCs w:val="20"/>
                <w14:ligatures w14:val="none"/>
              </w:rPr>
              <w:t>公共管理与公共服务设施规划图</w:t>
            </w:r>
          </w:p>
        </w:tc>
      </w:tr>
    </w:tbl>
    <w:p w14:paraId="4AA1DEA2">
      <w:pPr>
        <w:spacing w:after="0" w:line="600" w:lineRule="exact"/>
        <w:jc w:val="both"/>
        <w:rPr>
          <w:rFonts w:ascii="仿宋_GB2312" w:hAnsi="Times New Roman" w:eastAsia="仿宋_GB2312" w:cs="Times New Roman"/>
          <w:b/>
          <w:bCs/>
          <w:sz w:val="32"/>
          <w:szCs w:val="32"/>
          <w14:ligatures w14:val="none"/>
        </w:rPr>
      </w:pPr>
      <w:r>
        <w:rPr>
          <w:rFonts w:hint="eastAsia" w:ascii="仿宋_GB2312" w:hAnsi="Times New Roman" w:eastAsia="仿宋_GB2312" w:cs="Times New Roman"/>
          <w:b/>
          <w:bCs/>
          <w:sz w:val="32"/>
          <w:szCs w:val="32"/>
          <w14:ligatures w14:val="none"/>
        </w:rPr>
        <w:t>4、综合交通</w:t>
      </w:r>
      <w:r>
        <w:rPr>
          <w:rFonts w:ascii="仿宋_GB2312" w:hAnsi="Times New Roman" w:eastAsia="仿宋_GB2312" w:cs="Times New Roman"/>
          <w:b/>
          <w:bCs/>
          <w:sz w:val="32"/>
          <w:szCs w:val="32"/>
          <w14:ligatures w14:val="none"/>
        </w:rPr>
        <w:t>规划</w:t>
      </w:r>
    </w:p>
    <w:p w14:paraId="363BE7A8">
      <w:pPr>
        <w:ind w:firstLine="560"/>
        <w:rPr>
          <w:rFonts w:ascii="仿宋_GB2312" w:hAnsi="Times New Roman" w:eastAsia="仿宋_GB2312" w:cs="Times New Roman"/>
          <w:sz w:val="32"/>
          <w:szCs w:val="32"/>
          <w14:ligatures w14:val="none"/>
        </w:rPr>
      </w:pP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根据上位规划提出的道路系统方案和已定线道路方案，细化单元内道路网络，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按照“主干路-次干路-支路”三个等级设置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道路网。</w:t>
      </w:r>
    </w:p>
    <w:p w14:paraId="3332DA45">
      <w:pPr>
        <w:ind w:firstLine="560"/>
        <w:rPr>
          <w:rFonts w:ascii="仿宋_GB2312" w:hAnsi="Times New Roman" w:eastAsia="仿宋_GB2312" w:cs="Times New Roman"/>
          <w:sz w:val="32"/>
          <w:szCs w:val="32"/>
          <w14:ligatures w14:val="none"/>
        </w:rPr>
      </w:pP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（1）主干路：城市道路网络的骨架，承担城市主要区域间的交通联系功能。规划形成“两横两纵”主干路网系统。“两横”分别为江南大道（红线宽度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 xml:space="preserve"> 60 m，双向 6车道）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、纬一路（红线宽度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 xml:space="preserve"> 60 m，双向 6车道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）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。“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两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纵”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分别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为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城东大道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（红线宽度60m，双向6车道）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、安澜路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（红线宽度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5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2m，双向6车道）。</w:t>
      </w:r>
    </w:p>
    <w:p w14:paraId="40EC526C">
      <w:pPr>
        <w:ind w:firstLine="560"/>
        <w:rPr>
          <w:rFonts w:ascii="仿宋_GB2312" w:hAnsi="Times New Roman" w:eastAsia="仿宋_GB2312" w:cs="Times New Roman"/>
          <w:sz w:val="32"/>
          <w:szCs w:val="32"/>
          <w14:ligatures w14:val="none"/>
        </w:rPr>
      </w:pP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（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2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）次干路：承担主干路与各分区间的交通集散作用，兼有服务功能。平均间距为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400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-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600m。次干路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主要包括滨江大道、纬北路、临港一路、临港四路、北区一路，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红线宽度30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-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36m，双向4车道。</w:t>
      </w:r>
    </w:p>
    <w:p w14:paraId="4522CC68">
      <w:pPr>
        <w:ind w:firstLine="560"/>
        <w:rPr>
          <w:rFonts w:ascii="仿宋_GB2312" w:hAnsi="Times New Roman" w:eastAsia="仿宋_GB2312" w:cs="Times New Roman"/>
          <w:sz w:val="32"/>
          <w:szCs w:val="32"/>
          <w14:ligatures w14:val="none"/>
        </w:rPr>
      </w:pP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（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3）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支路：为居民出行提供直接交通服务，满足居民短距离出行需求，提升公共服务设施可达性。平均间距为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200</w:t>
      </w: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-</w:t>
      </w:r>
      <w:r>
        <w:rPr>
          <w:rFonts w:ascii="仿宋_GB2312" w:hAnsi="Times New Roman" w:eastAsia="仿宋_GB2312" w:cs="Times New Roman"/>
          <w:sz w:val="32"/>
          <w:szCs w:val="32"/>
          <w14:ligatures w14:val="none"/>
        </w:rPr>
        <w:t>400m。规划支路红线宽度18-30m。</w:t>
      </w:r>
    </w:p>
    <w:p w14:paraId="5F6E3707">
      <w:pPr>
        <w:ind w:firstLine="560"/>
        <w:rPr>
          <w:rFonts w:ascii="仿宋_GB2312" w:hAnsi="Times New Roman" w:eastAsia="仿宋_GB2312" w:cs="Times New Roman"/>
          <w:sz w:val="32"/>
          <w:szCs w:val="32"/>
          <w14:ligatures w14:val="none"/>
        </w:rPr>
      </w:pPr>
      <w:r>
        <w:rPr>
          <w:rFonts w:hint="eastAsia" w:ascii="仿宋_GB2312" w:hAnsi="Times New Roman" w:eastAsia="仿宋_GB2312" w:cs="Times New Roman"/>
          <w:sz w:val="32"/>
          <w:szCs w:val="32"/>
          <w14:ligatures w14:val="none"/>
        </w:rPr>
        <w:t>规划公共停车场1处，位于北区一路、北区二路交叉口以北。</w:t>
      </w:r>
    </w:p>
    <w:tbl>
      <w:tblPr>
        <w:tblStyle w:val="1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 w14:paraId="57B37D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</w:tcPr>
          <w:p w14:paraId="63087D15">
            <w:pPr>
              <w:spacing w:after="0" w:line="240" w:lineRule="auto"/>
              <w:jc w:val="center"/>
              <w:rPr>
                <w:rFonts w:hint="eastAsia" w:ascii="仿宋_GB2312" w:eastAsia="仿宋_GB2312" w:hAnsiTheme="minorEastAsia"/>
                <w:kern w:val="0"/>
                <w:sz w:val="32"/>
                <w:szCs w:val="32"/>
                <w14:ligatures w14:val="none"/>
              </w:rPr>
            </w:pPr>
            <w:r>
              <w:rPr>
                <w:rFonts w:ascii="仿宋_GB2312" w:eastAsia="仿宋_GB2312" w:hAnsiTheme="minorEastAsia"/>
                <w:kern w:val="0"/>
                <w:sz w:val="32"/>
                <w:szCs w:val="32"/>
                <w14:ligatures w14:val="none"/>
              </w:rPr>
              <w:drawing>
                <wp:inline distT="0" distB="0" distL="0" distR="0">
                  <wp:extent cx="5114290" cy="4403725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" b="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713" cy="4404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A466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</w:tcPr>
          <w:p w14:paraId="1BE350ED">
            <w:pPr>
              <w:pStyle w:val="31"/>
              <w:widowControl/>
              <w:numPr>
                <w:ilvl w:val="0"/>
                <w:numId w:val="1"/>
              </w:numPr>
              <w:adjustRightInd w:val="0"/>
              <w:snapToGrid w:val="0"/>
              <w:spacing w:after="200" w:line="360" w:lineRule="auto"/>
              <w:contextualSpacing w:val="0"/>
              <w:jc w:val="center"/>
              <w:rPr>
                <w:rFonts w:hint="eastAsia"/>
                <w:kern w:val="0"/>
                <w:sz w:val="20"/>
                <w:szCs w:val="20"/>
                <w14:ligatures w14:val="none"/>
              </w:rPr>
            </w:pPr>
            <w:r>
              <w:rPr>
                <w:rFonts w:hint="eastAsia" w:ascii="微软雅黑" w:hAnsi="微软雅黑"/>
                <w:kern w:val="0"/>
                <w:sz w:val="20"/>
                <w:szCs w:val="20"/>
                <w14:ligatures w14:val="none"/>
              </w:rPr>
              <w:t>道路系统规划图</w:t>
            </w:r>
          </w:p>
        </w:tc>
      </w:tr>
    </w:tbl>
    <w:p w14:paraId="145CE55B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B5A5473"/>
    <w:multiLevelType w:val="multilevel"/>
    <w:tmpl w:val="5B5A5473"/>
    <w:lvl w:ilvl="0" w:tentative="0">
      <w:start w:val="1"/>
      <w:numFmt w:val="decimal"/>
      <w:lvlText w:val="图%1."/>
      <w:lvlJc w:val="left"/>
      <w:pPr>
        <w:ind w:left="86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80" w:hanging="420"/>
      </w:pPr>
    </w:lvl>
    <w:lvl w:ilvl="2" w:tentative="0">
      <w:start w:val="1"/>
      <w:numFmt w:val="lowerRoman"/>
      <w:lvlText w:val="%3."/>
      <w:lvlJc w:val="right"/>
      <w:pPr>
        <w:ind w:left="1700" w:hanging="420"/>
      </w:pPr>
    </w:lvl>
    <w:lvl w:ilvl="3" w:tentative="0">
      <w:start w:val="1"/>
      <w:numFmt w:val="decimal"/>
      <w:lvlText w:val="%4."/>
      <w:lvlJc w:val="left"/>
      <w:pPr>
        <w:ind w:left="2120" w:hanging="420"/>
      </w:pPr>
    </w:lvl>
    <w:lvl w:ilvl="4" w:tentative="0">
      <w:start w:val="1"/>
      <w:numFmt w:val="lowerLetter"/>
      <w:lvlText w:val="%5)"/>
      <w:lvlJc w:val="left"/>
      <w:pPr>
        <w:ind w:left="2540" w:hanging="420"/>
      </w:pPr>
    </w:lvl>
    <w:lvl w:ilvl="5" w:tentative="0">
      <w:start w:val="1"/>
      <w:numFmt w:val="lowerRoman"/>
      <w:lvlText w:val="%6."/>
      <w:lvlJc w:val="right"/>
      <w:pPr>
        <w:ind w:left="2960" w:hanging="420"/>
      </w:pPr>
    </w:lvl>
    <w:lvl w:ilvl="6" w:tentative="0">
      <w:start w:val="1"/>
      <w:numFmt w:val="decimal"/>
      <w:lvlText w:val="%7."/>
      <w:lvlJc w:val="left"/>
      <w:pPr>
        <w:ind w:left="3380" w:hanging="420"/>
      </w:pPr>
    </w:lvl>
    <w:lvl w:ilvl="7" w:tentative="0">
      <w:start w:val="1"/>
      <w:numFmt w:val="lowerLetter"/>
      <w:lvlText w:val="%8)"/>
      <w:lvlJc w:val="left"/>
      <w:pPr>
        <w:ind w:left="3800" w:hanging="420"/>
      </w:pPr>
    </w:lvl>
    <w:lvl w:ilvl="8" w:tentative="0">
      <w:start w:val="1"/>
      <w:numFmt w:val="lowerRoman"/>
      <w:lvlText w:val="%9."/>
      <w:lvlJc w:val="right"/>
      <w:pPr>
        <w:ind w:left="42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4E1"/>
    <w:rsid w:val="0016164B"/>
    <w:rsid w:val="00171F78"/>
    <w:rsid w:val="00274BE8"/>
    <w:rsid w:val="00537C72"/>
    <w:rsid w:val="00587F4C"/>
    <w:rsid w:val="005F0FDE"/>
    <w:rsid w:val="00663671"/>
    <w:rsid w:val="006833A6"/>
    <w:rsid w:val="006915A0"/>
    <w:rsid w:val="007324F1"/>
    <w:rsid w:val="00835C06"/>
    <w:rsid w:val="008435A1"/>
    <w:rsid w:val="00851D5D"/>
    <w:rsid w:val="008A119F"/>
    <w:rsid w:val="009B01DE"/>
    <w:rsid w:val="00AA6949"/>
    <w:rsid w:val="00AD2655"/>
    <w:rsid w:val="00BB0C78"/>
    <w:rsid w:val="00BE4864"/>
    <w:rsid w:val="00D03D72"/>
    <w:rsid w:val="00D46E83"/>
    <w:rsid w:val="00D974E1"/>
    <w:rsid w:val="00DD0376"/>
    <w:rsid w:val="00DD586E"/>
    <w:rsid w:val="00E50841"/>
    <w:rsid w:val="00F415A5"/>
    <w:rsid w:val="6F637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20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</w:rPr>
  </w:style>
  <w:style w:type="paragraph" w:styleId="7">
    <w:name w:val="heading 6"/>
    <w:basedOn w:val="1"/>
    <w:next w:val="1"/>
    <w:link w:val="23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4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5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6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7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2">
    <w:name w:val="header"/>
    <w:basedOn w:val="1"/>
    <w:link w:val="3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8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7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16">
    <w:name w:val="Table Grid"/>
    <w:basedOn w:val="15"/>
    <w:unhideWhenUsed/>
    <w:uiPriority w:val="39"/>
    <w:pPr>
      <w:spacing w:after="0" w:line="240" w:lineRule="auto"/>
    </w:pPr>
    <w:rPr>
      <w:kern w:val="0"/>
      <w:sz w:val="20"/>
      <w:szCs w:val="20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8">
    <w:name w:val="标题 1 字符"/>
    <w:basedOn w:val="17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19">
    <w:name w:val="标题 2 字符"/>
    <w:basedOn w:val="17"/>
    <w:link w:val="3"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20">
    <w:name w:val="标题 3 字符"/>
    <w:basedOn w:val="17"/>
    <w:link w:val="4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1">
    <w:name w:val="标题 4 字符"/>
    <w:basedOn w:val="17"/>
    <w:link w:val="5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2">
    <w:name w:val="标题 5 字符"/>
    <w:basedOn w:val="17"/>
    <w:link w:val="6"/>
    <w:semiHidden/>
    <w:uiPriority w:val="9"/>
    <w:rPr>
      <w:rFonts w:cstheme="majorBidi"/>
      <w:color w:val="2F5597" w:themeColor="accent1" w:themeShade="BF"/>
      <w:sz w:val="24"/>
    </w:rPr>
  </w:style>
  <w:style w:type="character" w:customStyle="1" w:styleId="23">
    <w:name w:val="标题 6 字符"/>
    <w:basedOn w:val="17"/>
    <w:link w:val="7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24">
    <w:name w:val="标题 7 字符"/>
    <w:basedOn w:val="17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8 字符"/>
    <w:basedOn w:val="17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9 字符"/>
    <w:basedOn w:val="17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字符"/>
    <w:basedOn w:val="17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8">
    <w:name w:val="副标题 字符"/>
    <w:basedOn w:val="17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9">
    <w:name w:val="Quote"/>
    <w:basedOn w:val="1"/>
    <w:next w:val="1"/>
    <w:link w:val="30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0">
    <w:name w:val="引用 字符"/>
    <w:basedOn w:val="17"/>
    <w:link w:val="29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1">
    <w:name w:val="List Paragraph"/>
    <w:basedOn w:val="1"/>
    <w:qFormat/>
    <w:uiPriority w:val="34"/>
    <w:pPr>
      <w:ind w:left="720"/>
      <w:contextualSpacing/>
    </w:pPr>
  </w:style>
  <w:style w:type="character" w:customStyle="1" w:styleId="32">
    <w:name w:val="Intense Emphasis"/>
    <w:basedOn w:val="17"/>
    <w:qFormat/>
    <w:uiPriority w:val="21"/>
    <w:rPr>
      <w:i/>
      <w:iCs/>
      <w:color w:val="2F5597" w:themeColor="accent1" w:themeShade="BF"/>
    </w:rPr>
  </w:style>
  <w:style w:type="paragraph" w:styleId="33">
    <w:name w:val="Intense Quote"/>
    <w:basedOn w:val="1"/>
    <w:next w:val="1"/>
    <w:link w:val="34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4">
    <w:name w:val="明显引用 字符"/>
    <w:basedOn w:val="17"/>
    <w:link w:val="33"/>
    <w:uiPriority w:val="30"/>
    <w:rPr>
      <w:i/>
      <w:iCs/>
      <w:color w:val="2F5597" w:themeColor="accent1" w:themeShade="BF"/>
    </w:rPr>
  </w:style>
  <w:style w:type="character" w:customStyle="1" w:styleId="35">
    <w:name w:val="Intense Reference"/>
    <w:basedOn w:val="17"/>
    <w:qFormat/>
    <w:uiPriority w:val="32"/>
    <w:rPr>
      <w:b/>
      <w:bCs/>
      <w:smallCaps/>
      <w:color w:val="2F5597" w:themeColor="accent1" w:themeShade="BF"/>
      <w:spacing w:val="5"/>
    </w:rPr>
  </w:style>
  <w:style w:type="character" w:customStyle="1" w:styleId="36">
    <w:name w:val="页眉 字符"/>
    <w:basedOn w:val="17"/>
    <w:link w:val="12"/>
    <w:uiPriority w:val="99"/>
    <w:rPr>
      <w:sz w:val="18"/>
      <w:szCs w:val="18"/>
    </w:rPr>
  </w:style>
  <w:style w:type="character" w:customStyle="1" w:styleId="37">
    <w:name w:val="页脚 字符"/>
    <w:basedOn w:val="17"/>
    <w:link w:val="11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1316</Words>
  <Characters>1532</Characters>
  <Lines>12</Lines>
  <Paragraphs>28</Paragraphs>
  <TotalTime>0</TotalTime>
  <ScaleCrop>false</ScaleCrop>
  <LinksUpToDate>false</LinksUpToDate>
  <CharactersWithSpaces>1538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2026-01-28T02:49:00Z</dcterms:created>
  <dc:creator>陈懿慧</dc:creator>
  <cp:lastModifiedBy>Winter.</cp:lastModifiedBy>
  <dcterms:modified xsi:type="dcterms:W3CDTF">2026-01-30T08:06:05Z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eyJoZGlkIjoiM2VhMGUyZGU3YjlkZGJiMmQ1NDY5OTI0MTFlZTZmMTMiLCJ1c2VySWQiOiI1MTgxOTQwMDAifQ==</vt:lpwstr>
  </property>
  <property fmtid="{D5CDD505-2E9C-101B-9397-08002B2CF9AE}" pid="3" name="KSOProductBuildVer">
    <vt:lpwstr>2052-12.1.0.24657</vt:lpwstr>
  </property>
  <property fmtid="{D5CDD505-2E9C-101B-9397-08002B2CF9AE}" pid="4" name="ICV">
    <vt:lpwstr>7522ACF1A9B046359C94B9FA608A8F7B_12</vt:lpwstr>
  </property>
</Properties>
</file>